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FE7CF">
      <w:pPr>
        <w:keepNext/>
        <w:keepLines/>
        <w:pageBreakBefore/>
        <w:jc w:val="center"/>
        <w:outlineLvl w:val="0"/>
        <w:rPr>
          <w:rFonts w:ascii="仿宋" w:hAnsi="仿宋" w:eastAsia="仿宋" w:cs="仿宋"/>
          <w:b/>
          <w:color w:val="auto"/>
          <w:sz w:val="44"/>
          <w:szCs w:val="44"/>
          <w:highlight w:val="none"/>
        </w:rPr>
      </w:pPr>
      <w:bookmarkStart w:id="0" w:name="_Toc12255"/>
      <w:bookmarkStart w:id="1" w:name="_Toc23973"/>
      <w:bookmarkStart w:id="2" w:name="_Toc81575168"/>
      <w:bookmarkStart w:id="3" w:name="_Toc2916"/>
      <w:bookmarkStart w:id="4" w:name="_Toc81575205"/>
      <w:bookmarkStart w:id="16" w:name="_GoBack"/>
      <w:bookmarkEnd w:id="16"/>
      <w:r>
        <w:rPr>
          <w:rFonts w:hint="eastAsia" w:ascii="仿宋" w:hAnsi="仿宋" w:eastAsia="仿宋" w:cs="仿宋"/>
          <w:b/>
          <w:color w:val="auto"/>
          <w:sz w:val="44"/>
          <w:szCs w:val="44"/>
          <w:highlight w:val="none"/>
        </w:rPr>
        <w:t xml:space="preserve"> 采购需求</w:t>
      </w:r>
      <w:bookmarkEnd w:id="0"/>
      <w:bookmarkEnd w:id="1"/>
      <w:bookmarkEnd w:id="2"/>
      <w:bookmarkEnd w:id="3"/>
      <w:bookmarkEnd w:id="4"/>
    </w:p>
    <w:p w14:paraId="6A5F778F">
      <w:pPr>
        <w:pStyle w:val="5"/>
        <w:spacing w:before="0" w:beforeAutospacing="0" w:after="0" w:afterAutospacing="0" w:line="0" w:lineRule="atLeast"/>
        <w:jc w:val="both"/>
        <w:rPr>
          <w:rFonts w:ascii="仿宋" w:hAnsi="仿宋" w:eastAsia="仿宋" w:cs="仿宋"/>
          <w:color w:val="auto"/>
          <w:szCs w:val="24"/>
          <w:highlight w:val="none"/>
        </w:rPr>
      </w:pPr>
      <w:bookmarkStart w:id="5" w:name="_Toc49090575"/>
      <w:bookmarkStart w:id="6" w:name="_Toc26554093"/>
    </w:p>
    <w:p w14:paraId="4D12142E">
      <w:pPr>
        <w:spacing w:line="48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项目属性：服务类项目</w:t>
      </w:r>
      <w:bookmarkEnd w:id="5"/>
      <w:bookmarkEnd w:id="6"/>
    </w:p>
    <w:p w14:paraId="7DA466B0">
      <w:pPr>
        <w:spacing w:line="48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本项目采购标的对应的中小企业划分标准所属行业：物业管理服务</w:t>
      </w:r>
    </w:p>
    <w:p w14:paraId="25F79314">
      <w:pPr>
        <w:pStyle w:val="10"/>
        <w:numPr>
          <w:ilvl w:val="0"/>
          <w:numId w:val="1"/>
        </w:numPr>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项目概况</w:t>
      </w:r>
    </w:p>
    <w:p w14:paraId="7A1CAF90">
      <w:pPr>
        <w:pStyle w:val="2"/>
        <w:spacing w:line="560" w:lineRule="exact"/>
        <w:ind w:left="472"/>
        <w:outlineLvl w:val="1"/>
        <w:rPr>
          <w:rFonts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一）项目简介：为保障宿豫区有关公办中小学教育教学工作正常开展，结合学校办学现状，拟对区恒山路小学、庐山路小学、陆集中心学校、侍岭中心学校、昆仑山路学校、张家港实小、大兴中心学校、豫新小学、来龙初中等9家公办</w:t>
      </w:r>
      <w:r>
        <w:rPr>
          <w:rFonts w:hint="eastAsia" w:ascii="方正仿宋_GBK" w:hAnsi="方正仿宋_GBK" w:eastAsia="方正仿宋_GBK" w:cs="方正仿宋_GBK"/>
          <w:color w:val="auto"/>
          <w:spacing w:val="-2"/>
          <w:sz w:val="24"/>
          <w:szCs w:val="24"/>
          <w:highlight w:val="none"/>
        </w:rPr>
        <w:t>中小学（含幼儿园）</w:t>
      </w:r>
      <w:r>
        <w:rPr>
          <w:rFonts w:hint="eastAsia" w:ascii="方正仿宋_GBK" w:hAnsi="方正仿宋_GBK" w:eastAsia="方正仿宋_GBK" w:cs="方正仿宋_GBK"/>
          <w:color w:val="auto"/>
          <w:spacing w:val="-2"/>
          <w:sz w:val="24"/>
          <w:szCs w:val="24"/>
          <w:highlight w:val="none"/>
        </w:rPr>
        <w:t>的绿化管养、保洁、宿舍管理、水电工、消防设施管理等服务进行外包，本项目共三个分包：</w:t>
      </w:r>
    </w:p>
    <w:p w14:paraId="2129496B">
      <w:pPr>
        <w:pStyle w:val="2"/>
        <w:spacing w:line="560" w:lineRule="exact"/>
        <w:ind w:left="472"/>
        <w:outlineLvl w:val="1"/>
        <w:rPr>
          <w:rFonts w:hint="eastAsia"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分包一：豫新小学、来龙初中、侍岭中心学校，预算价合计581440元；</w:t>
      </w:r>
    </w:p>
    <w:p w14:paraId="2E829E09">
      <w:pPr>
        <w:pStyle w:val="2"/>
        <w:spacing w:line="560" w:lineRule="exact"/>
        <w:ind w:left="472"/>
        <w:outlineLvl w:val="1"/>
        <w:rPr>
          <w:rFonts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分包二：庐山路小学、昆仑山路学校、陆集中心学校，预算价合计580976元；</w:t>
      </w:r>
    </w:p>
    <w:p w14:paraId="31696F45">
      <w:pPr>
        <w:pStyle w:val="2"/>
        <w:spacing w:line="560" w:lineRule="exact"/>
        <w:ind w:left="472"/>
        <w:outlineLvl w:val="1"/>
        <w:rPr>
          <w:rFonts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分包三：张家港实小、恒山路小学、大兴中心学校，预算价合计588696元；</w:t>
      </w:r>
    </w:p>
    <w:p w14:paraId="4DBDF7DB">
      <w:pPr>
        <w:pStyle w:val="2"/>
        <w:spacing w:line="560" w:lineRule="exact"/>
        <w:ind w:left="472"/>
        <w:outlineLvl w:val="1"/>
        <w:rPr>
          <w:rFonts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投标分包选择：为保证本项目采购工作推进的同步性，投标人可参与任意分包或全部分包的投标。</w:t>
      </w:r>
    </w:p>
    <w:p w14:paraId="400BA96F">
      <w:pPr>
        <w:pStyle w:val="2"/>
        <w:spacing w:line="560" w:lineRule="exact"/>
        <w:ind w:left="472"/>
        <w:outlineLvl w:val="1"/>
        <w:rPr>
          <w:rFonts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开标顺序：按分包序号从小到大依次，即先开分包一，再开分包二，后开分包三。评标顺序同开标顺序。</w:t>
      </w:r>
    </w:p>
    <w:p w14:paraId="32200F7C">
      <w:pPr>
        <w:pStyle w:val="2"/>
        <w:spacing w:line="560" w:lineRule="exact"/>
        <w:ind w:left="472"/>
        <w:outlineLvl w:val="1"/>
        <w:rPr>
          <w:rFonts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定标原则：按“兼投不兼中”的原则，每位投标人只能在一个分包上中标。如某投标人已在分包一被推荐为第一中标候选人的，则其参与分包二、分包三评标，但在分包二、分包三不参与推荐中标候选人的排序。</w:t>
      </w:r>
    </w:p>
    <w:p w14:paraId="62A2775A">
      <w:pPr>
        <w:pStyle w:val="2"/>
        <w:spacing w:line="560" w:lineRule="exact"/>
        <w:ind w:left="472"/>
        <w:outlineLvl w:val="1"/>
        <w:rPr>
          <w:rFonts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注：评审结束后，若其中一个分包受到质疑投诉等原因，导致本分包评审结果改变的，不影响其他分包的评审结果。</w:t>
      </w:r>
    </w:p>
    <w:p w14:paraId="6199E471">
      <w:pPr>
        <w:pStyle w:val="32"/>
        <w:spacing w:line="560" w:lineRule="exact"/>
        <w:ind w:left="472"/>
        <w:rPr>
          <w:rFonts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（二）合同履行期限：</w:t>
      </w:r>
      <w:r>
        <w:rPr>
          <w:rFonts w:hint="eastAsia" w:ascii="仿宋" w:hAnsi="仿宋" w:eastAsia="仿宋" w:cs="仿宋"/>
          <w:color w:val="auto"/>
          <w:sz w:val="24"/>
          <w:szCs w:val="24"/>
          <w:highlight w:val="none"/>
          <w:lang w:bidi="zh-CN"/>
        </w:rPr>
        <w:t>1年，自合同生效之日起计算。</w:t>
      </w:r>
    </w:p>
    <w:p w14:paraId="00623311">
      <w:pPr>
        <w:pStyle w:val="32"/>
        <w:spacing w:line="560" w:lineRule="exact"/>
        <w:ind w:left="472"/>
        <w:rPr>
          <w:rFonts w:ascii="仿宋" w:hAnsi="仿宋" w:eastAsia="仿宋" w:cs="仿宋"/>
          <w:color w:val="auto"/>
          <w:sz w:val="24"/>
          <w:szCs w:val="24"/>
          <w:highlight w:val="none"/>
        </w:rPr>
      </w:pPr>
      <w:r>
        <w:rPr>
          <w:rFonts w:hint="eastAsia" w:ascii="方正仿宋_GBK" w:hAnsi="方正仿宋_GBK" w:eastAsia="方正仿宋_GBK" w:cs="方正仿宋_GBK"/>
          <w:color w:val="auto"/>
          <w:spacing w:val="-2"/>
          <w:sz w:val="24"/>
          <w:szCs w:val="24"/>
          <w:highlight w:val="none"/>
        </w:rPr>
        <w:t xml:space="preserve">（三）服务质量：合格 </w:t>
      </w:r>
    </w:p>
    <w:p w14:paraId="35B94865">
      <w:pPr>
        <w:pStyle w:val="10"/>
        <w:numPr>
          <w:ilvl w:val="0"/>
          <w:numId w:val="2"/>
        </w:numPr>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服务范围及内容</w:t>
      </w:r>
    </w:p>
    <w:p w14:paraId="0EE8909E">
      <w:pPr>
        <w:spacing w:line="480" w:lineRule="exact"/>
        <w:ind w:left="958" w:leftChars="342" w:hanging="240" w:hanging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1.人员要求：</w:t>
      </w:r>
    </w:p>
    <w:p w14:paraId="06C1FE4B">
      <w:pPr>
        <w:spacing w:line="480" w:lineRule="exact"/>
        <w:ind w:left="958" w:leftChars="342" w:hanging="240" w:hangingChars="100"/>
        <w:rPr>
          <w:rFonts w:ascii="仿宋" w:hAnsi="仿宋" w:eastAsia="仿宋" w:cs="仿宋"/>
          <w:color w:val="auto"/>
          <w:sz w:val="24"/>
          <w:szCs w:val="24"/>
          <w:highlight w:val="none"/>
        </w:rPr>
      </w:pPr>
      <w:r>
        <w:rPr>
          <w:rFonts w:hint="eastAsia" w:ascii="方正仿宋_GBK" w:hAnsi="方正仿宋_GBK" w:eastAsia="方正仿宋_GBK" w:cs="方正仿宋_GBK"/>
          <w:b/>
          <w:bCs/>
          <w:color w:val="auto"/>
          <w:sz w:val="24"/>
          <w:szCs w:val="24"/>
          <w:highlight w:val="none"/>
          <w:lang w:bidi="zh-CN"/>
        </w:rPr>
        <w:t>以下人员配备为最低要求，不接受负偏离，响应文件中提供全部响应要求的承诺函电子件（加盖公章，承诺函格式附后），否则按无效标处理。</w:t>
      </w:r>
    </w:p>
    <w:tbl>
      <w:tblPr>
        <w:tblStyle w:val="7"/>
        <w:tblW w:w="8086" w:type="dxa"/>
        <w:tblInd w:w="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481"/>
        <w:gridCol w:w="400"/>
        <w:gridCol w:w="370"/>
        <w:gridCol w:w="380"/>
        <w:gridCol w:w="370"/>
        <w:gridCol w:w="1370"/>
        <w:gridCol w:w="3729"/>
      </w:tblGrid>
      <w:tr w14:paraId="015C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1231550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学校</w:t>
            </w:r>
          </w:p>
        </w:tc>
        <w:tc>
          <w:tcPr>
            <w:tcW w:w="481" w:type="dxa"/>
            <w:vAlign w:val="center"/>
          </w:tcPr>
          <w:p w14:paraId="5F14353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保洁</w:t>
            </w:r>
          </w:p>
        </w:tc>
        <w:tc>
          <w:tcPr>
            <w:tcW w:w="400" w:type="dxa"/>
            <w:vAlign w:val="center"/>
          </w:tcPr>
          <w:p w14:paraId="3EABE02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绿化</w:t>
            </w:r>
          </w:p>
        </w:tc>
        <w:tc>
          <w:tcPr>
            <w:tcW w:w="370" w:type="dxa"/>
            <w:vAlign w:val="center"/>
          </w:tcPr>
          <w:p w14:paraId="1699B08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水电</w:t>
            </w:r>
          </w:p>
        </w:tc>
        <w:tc>
          <w:tcPr>
            <w:tcW w:w="380" w:type="dxa"/>
            <w:vAlign w:val="center"/>
          </w:tcPr>
          <w:p w14:paraId="503A2B9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w:t>
            </w:r>
          </w:p>
        </w:tc>
        <w:tc>
          <w:tcPr>
            <w:tcW w:w="370" w:type="dxa"/>
            <w:vAlign w:val="center"/>
          </w:tcPr>
          <w:p w14:paraId="37AB579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宿管</w:t>
            </w:r>
          </w:p>
        </w:tc>
        <w:tc>
          <w:tcPr>
            <w:tcW w:w="1370" w:type="dxa"/>
            <w:vAlign w:val="center"/>
          </w:tcPr>
          <w:p w14:paraId="49829B17">
            <w:pPr>
              <w:jc w:val="cente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考勤</w:t>
            </w:r>
            <w:r>
              <w:rPr>
                <w:rFonts w:hint="eastAsia" w:ascii="仿宋" w:hAnsi="仿宋" w:eastAsia="仿宋" w:cs="仿宋"/>
                <w:color w:val="auto"/>
                <w:szCs w:val="21"/>
                <w:highlight w:val="none"/>
              </w:rPr>
              <w:t>人数</w:t>
            </w:r>
          </w:p>
        </w:tc>
        <w:tc>
          <w:tcPr>
            <w:tcW w:w="3729" w:type="dxa"/>
            <w:vAlign w:val="center"/>
          </w:tcPr>
          <w:p w14:paraId="6132BA1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7EAC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3EC9D5E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张家港实小</w:t>
            </w:r>
          </w:p>
        </w:tc>
        <w:tc>
          <w:tcPr>
            <w:tcW w:w="481" w:type="dxa"/>
            <w:vAlign w:val="center"/>
          </w:tcPr>
          <w:p w14:paraId="0FACB3CD">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sym w:font="Wingdings 2" w:char="0052"/>
            </w:r>
          </w:p>
        </w:tc>
        <w:tc>
          <w:tcPr>
            <w:tcW w:w="400" w:type="dxa"/>
            <w:vAlign w:val="center"/>
          </w:tcPr>
          <w:p w14:paraId="2BB11BE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370" w:type="dxa"/>
            <w:vAlign w:val="center"/>
          </w:tcPr>
          <w:p w14:paraId="228E6F6D">
            <w:pPr>
              <w:jc w:val="center"/>
              <w:rPr>
                <w:rFonts w:ascii="仿宋" w:hAnsi="仿宋" w:eastAsia="仿宋" w:cs="仿宋"/>
                <w:color w:val="auto"/>
                <w:szCs w:val="21"/>
                <w:highlight w:val="none"/>
              </w:rPr>
            </w:pPr>
            <w:r>
              <w:rPr>
                <w:rFonts w:ascii="仿宋" w:hAnsi="仿宋" w:eastAsia="仿宋" w:cs="仿宋"/>
                <w:color w:val="auto"/>
                <w:szCs w:val="21"/>
                <w:highlight w:val="none"/>
              </w:rPr>
              <w:sym w:font="Wingdings 2" w:char="00A3"/>
            </w:r>
          </w:p>
        </w:tc>
        <w:tc>
          <w:tcPr>
            <w:tcW w:w="380" w:type="dxa"/>
            <w:vAlign w:val="center"/>
          </w:tcPr>
          <w:p w14:paraId="751679C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370" w:type="dxa"/>
            <w:vAlign w:val="center"/>
          </w:tcPr>
          <w:p w14:paraId="03A16DE0">
            <w:pPr>
              <w:jc w:val="center"/>
              <w:rPr>
                <w:rFonts w:ascii="仿宋" w:hAnsi="仿宋" w:eastAsia="仿宋" w:cs="仿宋"/>
                <w:color w:val="auto"/>
                <w:szCs w:val="21"/>
                <w:highlight w:val="none"/>
              </w:rPr>
            </w:pPr>
            <w:bookmarkStart w:id="7" w:name="OLE_LINK28"/>
            <w:bookmarkStart w:id="8" w:name="OLE_LINK29"/>
            <w:r>
              <w:rPr>
                <w:rFonts w:hint="eastAsia" w:ascii="仿宋" w:hAnsi="仿宋" w:eastAsia="仿宋" w:cs="仿宋"/>
                <w:color w:val="auto"/>
                <w:szCs w:val="21"/>
                <w:highlight w:val="none"/>
              </w:rPr>
              <w:sym w:font="Wingdings 2" w:char="00A3"/>
            </w:r>
            <w:bookmarkEnd w:id="7"/>
            <w:bookmarkEnd w:id="8"/>
          </w:p>
        </w:tc>
        <w:tc>
          <w:tcPr>
            <w:tcW w:w="1370" w:type="dxa"/>
            <w:vAlign w:val="center"/>
          </w:tcPr>
          <w:p w14:paraId="2FBE0BE9">
            <w:pPr>
              <w:rPr>
                <w:rFonts w:ascii="仿宋" w:hAnsi="仿宋" w:eastAsia="仿宋" w:cs="仿宋"/>
                <w:color w:val="auto"/>
                <w:sz w:val="24"/>
                <w:szCs w:val="24"/>
                <w:highlight w:val="none"/>
              </w:rPr>
            </w:pPr>
            <w:r>
              <w:rPr>
                <w:rFonts w:hint="eastAsia" w:ascii="仿宋" w:hAnsi="仿宋" w:eastAsia="仿宋" w:cs="仿宋"/>
                <w:color w:val="auto"/>
                <w:sz w:val="15"/>
                <w:szCs w:val="15"/>
                <w:highlight w:val="none"/>
              </w:rPr>
              <w:t>不低于8人（</w:t>
            </w:r>
            <w:r>
              <w:rPr>
                <w:rFonts w:hint="eastAsia" w:ascii="仿宋" w:hAnsi="仿宋" w:eastAsia="仿宋" w:cs="仿宋"/>
                <w:color w:val="auto"/>
                <w:sz w:val="15"/>
                <w:szCs w:val="15"/>
                <w:highlight w:val="none"/>
              </w:rPr>
              <w:t>杂工1人。</w:t>
            </w:r>
            <w:r>
              <w:rPr>
                <w:rFonts w:hint="eastAsia" w:ascii="仿宋" w:hAnsi="仿宋" w:eastAsia="仿宋" w:cs="仿宋"/>
                <w:color w:val="auto"/>
                <w:sz w:val="15"/>
                <w:szCs w:val="15"/>
                <w:highlight w:val="none"/>
              </w:rPr>
              <w:t>）</w:t>
            </w:r>
          </w:p>
        </w:tc>
        <w:tc>
          <w:tcPr>
            <w:tcW w:w="3729" w:type="dxa"/>
            <w:vAlign w:val="center"/>
          </w:tcPr>
          <w:p w14:paraId="5BAD3680">
            <w:pP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学校占地面积约45亩，总建筑面积约22456平方米，师生约4700人。</w:t>
            </w:r>
          </w:p>
          <w:p w14:paraId="68E1FB8A">
            <w:pPr>
              <w:rPr>
                <w:rFonts w:ascii="仿宋" w:hAnsi="仿宋" w:eastAsia="仿宋" w:cs="仿宋"/>
                <w:color w:val="auto"/>
                <w:sz w:val="24"/>
                <w:szCs w:val="24"/>
                <w:highlight w:val="none"/>
              </w:rPr>
            </w:pPr>
            <w:r>
              <w:rPr>
                <w:rFonts w:hint="eastAsia" w:ascii="仿宋" w:hAnsi="仿宋" w:eastAsia="仿宋" w:cs="仿宋"/>
                <w:color w:val="auto"/>
                <w:sz w:val="15"/>
                <w:szCs w:val="15"/>
                <w:highlight w:val="none"/>
              </w:rPr>
              <w:t>绿化管养、杂工、消防设施操作管理服务范围包含幼儿园。</w:t>
            </w:r>
          </w:p>
        </w:tc>
      </w:tr>
      <w:tr w14:paraId="7E9E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35F9B1B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恒山路小学</w:t>
            </w:r>
          </w:p>
        </w:tc>
        <w:tc>
          <w:tcPr>
            <w:tcW w:w="481" w:type="dxa"/>
            <w:vAlign w:val="center"/>
          </w:tcPr>
          <w:p w14:paraId="0331F83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400" w:type="dxa"/>
            <w:vAlign w:val="center"/>
          </w:tcPr>
          <w:p w14:paraId="494D0C4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A3"/>
            </w:r>
          </w:p>
        </w:tc>
        <w:tc>
          <w:tcPr>
            <w:tcW w:w="370" w:type="dxa"/>
            <w:vAlign w:val="center"/>
          </w:tcPr>
          <w:p w14:paraId="6357F5C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380" w:type="dxa"/>
            <w:vAlign w:val="center"/>
          </w:tcPr>
          <w:p w14:paraId="38ACF55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A3"/>
            </w:r>
          </w:p>
        </w:tc>
        <w:tc>
          <w:tcPr>
            <w:tcW w:w="370" w:type="dxa"/>
            <w:vAlign w:val="center"/>
          </w:tcPr>
          <w:p w14:paraId="0EB099CE">
            <w:pPr>
              <w:jc w:val="center"/>
              <w:rPr>
                <w:rFonts w:ascii="仿宋" w:hAnsi="仿宋" w:eastAsia="仿宋" w:cs="仿宋"/>
                <w:color w:val="auto"/>
                <w:szCs w:val="21"/>
                <w:highlight w:val="none"/>
              </w:rPr>
            </w:pPr>
            <w:bookmarkStart w:id="9" w:name="OLE_LINK22"/>
            <w:bookmarkStart w:id="10" w:name="OLE_LINK23"/>
            <w:r>
              <w:rPr>
                <w:rFonts w:hint="eastAsia" w:ascii="仿宋" w:hAnsi="仿宋" w:eastAsia="仿宋" w:cs="仿宋"/>
                <w:color w:val="auto"/>
                <w:szCs w:val="21"/>
                <w:highlight w:val="none"/>
              </w:rPr>
              <w:sym w:font="Wingdings 2" w:char="00A3"/>
            </w:r>
            <w:bookmarkEnd w:id="9"/>
            <w:bookmarkEnd w:id="10"/>
          </w:p>
        </w:tc>
        <w:tc>
          <w:tcPr>
            <w:tcW w:w="1370" w:type="dxa"/>
            <w:vAlign w:val="center"/>
          </w:tcPr>
          <w:p w14:paraId="1F923A32">
            <w:pPr>
              <w:rPr>
                <w:rFonts w:ascii="仿宋" w:hAnsi="仿宋" w:eastAsia="仿宋" w:cs="仿宋"/>
                <w:color w:val="auto"/>
                <w:sz w:val="24"/>
                <w:szCs w:val="24"/>
                <w:highlight w:val="none"/>
              </w:rPr>
            </w:pPr>
            <w:r>
              <w:rPr>
                <w:rFonts w:hint="eastAsia" w:ascii="仿宋" w:hAnsi="仿宋" w:eastAsia="仿宋" w:cs="仿宋"/>
                <w:color w:val="auto"/>
                <w:sz w:val="15"/>
                <w:szCs w:val="15"/>
                <w:highlight w:val="none"/>
              </w:rPr>
              <w:t>不低于</w:t>
            </w:r>
            <w:r>
              <w:rPr>
                <w:rFonts w:hint="eastAsia" w:ascii="仿宋" w:hAnsi="仿宋" w:eastAsia="仿宋" w:cs="仿宋"/>
                <w:color w:val="auto"/>
                <w:sz w:val="15"/>
                <w:szCs w:val="15"/>
                <w:highlight w:val="none"/>
                <w:lang w:val="en-US" w:eastAsia="zh-CN"/>
              </w:rPr>
              <w:t>6</w:t>
            </w:r>
            <w:r>
              <w:rPr>
                <w:rFonts w:hint="eastAsia" w:ascii="仿宋" w:hAnsi="仿宋" w:eastAsia="仿宋" w:cs="仿宋"/>
                <w:color w:val="auto"/>
                <w:sz w:val="15"/>
                <w:szCs w:val="15"/>
                <w:highlight w:val="none"/>
              </w:rPr>
              <w:t>人</w:t>
            </w:r>
          </w:p>
        </w:tc>
        <w:tc>
          <w:tcPr>
            <w:tcW w:w="3729" w:type="dxa"/>
            <w:vAlign w:val="center"/>
          </w:tcPr>
          <w:p w14:paraId="6A07E6B7">
            <w:pP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学校占地面积约89亩，总建筑面积约47000平方米，师生约2600人。</w:t>
            </w:r>
          </w:p>
          <w:p w14:paraId="460C4D8C">
            <w:pPr>
              <w:rPr>
                <w:rFonts w:ascii="仿宋" w:hAnsi="仿宋" w:eastAsia="仿宋" w:cs="仿宋"/>
                <w:color w:val="auto"/>
                <w:sz w:val="24"/>
                <w:szCs w:val="24"/>
                <w:highlight w:val="none"/>
              </w:rPr>
            </w:pPr>
            <w:r>
              <w:rPr>
                <w:rFonts w:hint="eastAsia" w:ascii="仿宋" w:hAnsi="仿宋" w:eastAsia="仿宋" w:cs="仿宋"/>
                <w:color w:val="auto"/>
                <w:sz w:val="15"/>
                <w:szCs w:val="15"/>
                <w:highlight w:val="none"/>
              </w:rPr>
              <w:t>水电维修服务范围包含幼儿园。</w:t>
            </w:r>
          </w:p>
        </w:tc>
      </w:tr>
      <w:tr w14:paraId="44FB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25FCF5D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大兴中心学校</w:t>
            </w:r>
          </w:p>
        </w:tc>
        <w:tc>
          <w:tcPr>
            <w:tcW w:w="481" w:type="dxa"/>
            <w:vAlign w:val="center"/>
          </w:tcPr>
          <w:p w14:paraId="0D99B08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400" w:type="dxa"/>
            <w:vAlign w:val="center"/>
          </w:tcPr>
          <w:p w14:paraId="29D1D8F8">
            <w:pPr>
              <w:jc w:val="center"/>
              <w:rPr>
                <w:rFonts w:ascii="仿宋" w:hAnsi="仿宋" w:eastAsia="仿宋" w:cs="仿宋"/>
                <w:color w:val="auto"/>
                <w:szCs w:val="21"/>
                <w:highlight w:val="none"/>
              </w:rPr>
            </w:pPr>
            <w:r>
              <w:rPr>
                <w:rFonts w:ascii="仿宋" w:hAnsi="仿宋" w:eastAsia="仿宋" w:cs="仿宋"/>
                <w:color w:val="auto"/>
                <w:szCs w:val="21"/>
                <w:highlight w:val="none"/>
              </w:rPr>
              <w:sym w:font="Wingdings 2" w:char="0052"/>
            </w:r>
          </w:p>
        </w:tc>
        <w:tc>
          <w:tcPr>
            <w:tcW w:w="370" w:type="dxa"/>
            <w:vAlign w:val="center"/>
          </w:tcPr>
          <w:p w14:paraId="53431726">
            <w:pPr>
              <w:jc w:val="center"/>
              <w:rPr>
                <w:rFonts w:ascii="仿宋" w:hAnsi="仿宋" w:eastAsia="仿宋" w:cs="仿宋"/>
                <w:color w:val="auto"/>
                <w:szCs w:val="21"/>
                <w:highlight w:val="none"/>
              </w:rPr>
            </w:pPr>
            <w:r>
              <w:rPr>
                <w:rFonts w:ascii="仿宋" w:hAnsi="仿宋" w:eastAsia="仿宋" w:cs="仿宋"/>
                <w:color w:val="auto"/>
                <w:szCs w:val="21"/>
                <w:highlight w:val="none"/>
              </w:rPr>
              <w:sym w:font="Wingdings 2" w:char="00A3"/>
            </w:r>
          </w:p>
        </w:tc>
        <w:tc>
          <w:tcPr>
            <w:tcW w:w="380" w:type="dxa"/>
            <w:vAlign w:val="center"/>
          </w:tcPr>
          <w:p w14:paraId="4401F135">
            <w:pPr>
              <w:jc w:val="center"/>
              <w:rPr>
                <w:rFonts w:ascii="仿宋" w:hAnsi="仿宋" w:eastAsia="仿宋" w:cs="仿宋"/>
                <w:color w:val="auto"/>
                <w:szCs w:val="21"/>
                <w:highlight w:val="none"/>
              </w:rPr>
            </w:pPr>
            <w:r>
              <w:rPr>
                <w:rFonts w:ascii="仿宋" w:hAnsi="仿宋" w:eastAsia="仿宋" w:cs="仿宋"/>
                <w:color w:val="auto"/>
                <w:szCs w:val="21"/>
                <w:highlight w:val="none"/>
              </w:rPr>
              <w:sym w:font="Wingdings 2" w:char="00A3"/>
            </w:r>
          </w:p>
        </w:tc>
        <w:tc>
          <w:tcPr>
            <w:tcW w:w="370" w:type="dxa"/>
            <w:vAlign w:val="center"/>
          </w:tcPr>
          <w:p w14:paraId="1F6029A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1370" w:type="dxa"/>
            <w:vAlign w:val="center"/>
          </w:tcPr>
          <w:p w14:paraId="7BF9F3E9">
            <w:pPr>
              <w:rPr>
                <w:rFonts w:ascii="仿宋" w:hAnsi="仿宋" w:eastAsia="仿宋" w:cs="仿宋"/>
                <w:color w:val="auto"/>
                <w:sz w:val="24"/>
                <w:szCs w:val="24"/>
                <w:highlight w:val="none"/>
              </w:rPr>
            </w:pPr>
            <w:r>
              <w:rPr>
                <w:rFonts w:hint="eastAsia" w:ascii="仿宋" w:hAnsi="仿宋" w:eastAsia="仿宋" w:cs="仿宋"/>
                <w:color w:val="auto"/>
                <w:sz w:val="15"/>
                <w:szCs w:val="15"/>
                <w:highlight w:val="none"/>
              </w:rPr>
              <w:t>不低于</w:t>
            </w:r>
            <w:r>
              <w:rPr>
                <w:rFonts w:hint="eastAsia" w:ascii="仿宋" w:hAnsi="仿宋" w:eastAsia="仿宋" w:cs="仿宋"/>
                <w:color w:val="auto"/>
                <w:sz w:val="15"/>
                <w:szCs w:val="15"/>
                <w:highlight w:val="none"/>
                <w:lang w:val="en-US" w:eastAsia="zh-CN"/>
              </w:rPr>
              <w:t>5</w:t>
            </w:r>
            <w:r>
              <w:rPr>
                <w:rFonts w:hint="eastAsia" w:ascii="仿宋" w:hAnsi="仿宋" w:eastAsia="仿宋" w:cs="仿宋"/>
                <w:color w:val="auto"/>
                <w:sz w:val="15"/>
                <w:szCs w:val="15"/>
                <w:highlight w:val="none"/>
              </w:rPr>
              <w:t>人（</w:t>
            </w:r>
            <w:r>
              <w:rPr>
                <w:rFonts w:hint="eastAsia" w:ascii="仿宋" w:hAnsi="仿宋" w:eastAsia="仿宋" w:cs="仿宋"/>
                <w:color w:val="auto"/>
                <w:sz w:val="15"/>
                <w:szCs w:val="15"/>
                <w:highlight w:val="none"/>
              </w:rPr>
              <w:t>男、女宿管员各1人</w:t>
            </w:r>
            <w:r>
              <w:rPr>
                <w:rFonts w:hint="eastAsia" w:ascii="仿宋" w:hAnsi="仿宋" w:eastAsia="仿宋" w:cs="仿宋"/>
                <w:color w:val="auto"/>
                <w:sz w:val="15"/>
                <w:szCs w:val="15"/>
                <w:highlight w:val="none"/>
              </w:rPr>
              <w:t>）</w:t>
            </w:r>
          </w:p>
        </w:tc>
        <w:tc>
          <w:tcPr>
            <w:tcW w:w="3729" w:type="dxa"/>
            <w:vAlign w:val="center"/>
          </w:tcPr>
          <w:p w14:paraId="32CBF39C">
            <w:pP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学校占地面积约45亩，总建筑面积约26183平方米，师生约2200人。</w:t>
            </w:r>
          </w:p>
        </w:tc>
      </w:tr>
    </w:tbl>
    <w:p w14:paraId="6E4DCDE0">
      <w:pPr>
        <w:spacing w:line="480" w:lineRule="exact"/>
        <w:ind w:left="958" w:leftChars="342" w:hanging="240" w:hanging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备注：上述</w:t>
      </w:r>
      <w:r>
        <w:rPr>
          <w:rFonts w:hint="eastAsia" w:ascii="仿宋" w:hAnsi="仿宋" w:eastAsia="仿宋" w:cs="仿宋"/>
          <w:color w:val="auto"/>
          <w:sz w:val="24"/>
          <w:szCs w:val="24"/>
          <w:highlight w:val="none"/>
          <w:lang w:val="en-US" w:eastAsia="zh-CN"/>
        </w:rPr>
        <w:t>考勤</w:t>
      </w:r>
      <w:r>
        <w:rPr>
          <w:rFonts w:hint="eastAsia" w:ascii="仿宋" w:hAnsi="仿宋" w:eastAsia="仿宋" w:cs="仿宋"/>
          <w:color w:val="auto"/>
          <w:sz w:val="24"/>
          <w:szCs w:val="24"/>
          <w:highlight w:val="none"/>
        </w:rPr>
        <w:t>人数中</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含以下人员：项目负责人1名（须缴纳社保）；水电工和消防设施操作员（人数配备须满足各学校使用需求，由各投标人根据工作需要进行调配，且应具备相关专业能力，其中水电工应具有低压电工证，消防设施消防设施操作员应具有消防设施操作员证）。</w:t>
      </w:r>
    </w:p>
    <w:p w14:paraId="12E095BD">
      <w:pPr>
        <w:spacing w:line="480" w:lineRule="exact"/>
        <w:ind w:left="958" w:leftChars="342" w:hanging="240" w:hanging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2、岗位职责：</w:t>
      </w:r>
    </w:p>
    <w:tbl>
      <w:tblPr>
        <w:tblStyle w:val="6"/>
        <w:tblW w:w="0" w:type="auto"/>
        <w:tblInd w:w="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5444"/>
        <w:gridCol w:w="1299"/>
      </w:tblGrid>
      <w:tr w14:paraId="0999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328" w:type="dxa"/>
            <w:tcBorders>
              <w:top w:val="single" w:color="auto" w:sz="4" w:space="0"/>
              <w:left w:val="single" w:color="auto" w:sz="4" w:space="0"/>
              <w:bottom w:val="single" w:color="auto" w:sz="4" w:space="0"/>
              <w:right w:val="single" w:color="auto" w:sz="4" w:space="0"/>
            </w:tcBorders>
            <w:vAlign w:val="center"/>
          </w:tcPr>
          <w:p w14:paraId="29D2C954">
            <w:pPr>
              <w:pStyle w:val="2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岗位名称</w:t>
            </w:r>
          </w:p>
        </w:tc>
        <w:tc>
          <w:tcPr>
            <w:tcW w:w="5444" w:type="dxa"/>
            <w:tcBorders>
              <w:top w:val="single" w:color="auto" w:sz="4" w:space="0"/>
              <w:left w:val="single" w:color="auto" w:sz="4" w:space="0"/>
              <w:bottom w:val="single" w:color="auto" w:sz="4" w:space="0"/>
              <w:right w:val="single" w:color="auto" w:sz="4" w:space="0"/>
            </w:tcBorders>
            <w:vAlign w:val="center"/>
          </w:tcPr>
          <w:p w14:paraId="3332A10D">
            <w:pPr>
              <w:pStyle w:val="2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主要工作内容</w:t>
            </w:r>
          </w:p>
        </w:tc>
        <w:tc>
          <w:tcPr>
            <w:tcW w:w="0" w:type="auto"/>
            <w:tcBorders>
              <w:top w:val="single" w:color="auto" w:sz="4" w:space="0"/>
              <w:left w:val="single" w:color="auto" w:sz="4" w:space="0"/>
              <w:bottom w:val="single" w:color="auto" w:sz="4" w:space="0"/>
              <w:right w:val="single" w:color="auto" w:sz="4" w:space="0"/>
            </w:tcBorders>
            <w:vAlign w:val="center"/>
          </w:tcPr>
          <w:p w14:paraId="510D31CA">
            <w:pPr>
              <w:pStyle w:val="2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6E1C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28" w:type="dxa"/>
            <w:tcBorders>
              <w:top w:val="single" w:color="auto" w:sz="4" w:space="0"/>
              <w:left w:val="single" w:color="auto" w:sz="4" w:space="0"/>
              <w:bottom w:val="single" w:color="auto" w:sz="4" w:space="0"/>
              <w:right w:val="single" w:color="auto" w:sz="4" w:space="0"/>
            </w:tcBorders>
            <w:vAlign w:val="center"/>
          </w:tcPr>
          <w:p w14:paraId="28014246">
            <w:pPr>
              <w:pStyle w:val="29"/>
              <w:spacing w:line="560" w:lineRule="exact"/>
              <w:ind w:left="106" w:hanging="105"/>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5444" w:type="dxa"/>
            <w:tcBorders>
              <w:top w:val="single" w:color="auto" w:sz="4" w:space="0"/>
              <w:left w:val="single" w:color="auto" w:sz="4" w:space="0"/>
              <w:bottom w:val="single" w:color="auto" w:sz="4" w:space="0"/>
              <w:right w:val="single" w:color="auto" w:sz="4" w:space="0"/>
            </w:tcBorders>
            <w:vAlign w:val="center"/>
          </w:tcPr>
          <w:p w14:paraId="66ED68C9">
            <w:pPr>
              <w:pStyle w:val="2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负责全面管理工作。</w:t>
            </w:r>
          </w:p>
        </w:tc>
        <w:tc>
          <w:tcPr>
            <w:tcW w:w="0" w:type="auto"/>
            <w:tcBorders>
              <w:top w:val="single" w:color="auto" w:sz="4" w:space="0"/>
              <w:left w:val="single" w:color="auto" w:sz="4" w:space="0"/>
              <w:bottom w:val="single" w:color="auto" w:sz="4" w:space="0"/>
              <w:right w:val="single" w:color="auto" w:sz="4" w:space="0"/>
            </w:tcBorders>
            <w:vAlign w:val="center"/>
          </w:tcPr>
          <w:p w14:paraId="3D96328D">
            <w:pPr>
              <w:pStyle w:val="29"/>
              <w:spacing w:line="560" w:lineRule="exact"/>
              <w:jc w:val="center"/>
              <w:rPr>
                <w:rFonts w:ascii="仿宋" w:hAnsi="仿宋" w:eastAsia="仿宋" w:cs="仿宋"/>
                <w:color w:val="auto"/>
                <w:sz w:val="24"/>
                <w:szCs w:val="24"/>
                <w:highlight w:val="none"/>
              </w:rPr>
            </w:pPr>
          </w:p>
        </w:tc>
      </w:tr>
      <w:tr w14:paraId="0A22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328" w:type="dxa"/>
            <w:tcBorders>
              <w:left w:val="single" w:color="auto" w:sz="4" w:space="0"/>
              <w:right w:val="single" w:color="auto" w:sz="4" w:space="0"/>
            </w:tcBorders>
            <w:vAlign w:val="center"/>
          </w:tcPr>
          <w:p w14:paraId="6953C203">
            <w:pPr>
              <w:pStyle w:val="2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保洁</w:t>
            </w:r>
          </w:p>
        </w:tc>
        <w:tc>
          <w:tcPr>
            <w:tcW w:w="5444" w:type="dxa"/>
            <w:tcBorders>
              <w:top w:val="single" w:color="auto" w:sz="4" w:space="0"/>
              <w:left w:val="single" w:color="auto" w:sz="4" w:space="0"/>
              <w:right w:val="single" w:color="auto" w:sz="4" w:space="0"/>
            </w:tcBorders>
            <w:vAlign w:val="center"/>
          </w:tcPr>
          <w:p w14:paraId="1D7CE2C0">
            <w:pPr>
              <w:pStyle w:val="29"/>
              <w:spacing w:line="5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1.负责公共走道、楼道、楼梯扶手、玻璃门窗、校长室、会议室、卫生间、茶水间等保洁、消毒、蚊虫防治等。</w:t>
            </w:r>
          </w:p>
          <w:p w14:paraId="2489697B">
            <w:pPr>
              <w:pStyle w:val="29"/>
              <w:spacing w:line="560" w:lineRule="exact"/>
              <w:rPr>
                <w:rFonts w:ascii="仿宋" w:hAnsi="仿宋" w:eastAsia="仿宋" w:cs="仿宋"/>
                <w:color w:val="auto"/>
                <w:highlight w:val="none"/>
              </w:rPr>
            </w:pPr>
            <w:r>
              <w:rPr>
                <w:rFonts w:hint="eastAsia" w:ascii="仿宋" w:hAnsi="仿宋" w:eastAsia="仿宋" w:cs="仿宋"/>
                <w:color w:val="auto"/>
                <w:sz w:val="24"/>
                <w:szCs w:val="24"/>
                <w:highlight w:val="none"/>
              </w:rPr>
              <w:t>2.负责校园所有路面、运动场、绿化带等清扫。公示牌、公告栏等室外设施清洁，管道清淤、化粪池清理、窨井和落水井安全排查和杂物清理。</w:t>
            </w:r>
          </w:p>
          <w:p w14:paraId="7E7AFE94">
            <w:pPr>
              <w:pStyle w:val="29"/>
              <w:spacing w:line="5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3.负责校园内垃圾清运至指定地点及垃圾桶的清洁。</w:t>
            </w:r>
          </w:p>
        </w:tc>
        <w:tc>
          <w:tcPr>
            <w:tcW w:w="0" w:type="auto"/>
            <w:tcBorders>
              <w:top w:val="single" w:color="auto" w:sz="4" w:space="0"/>
              <w:left w:val="single" w:color="auto" w:sz="4" w:space="0"/>
              <w:right w:val="single" w:color="auto" w:sz="4" w:space="0"/>
            </w:tcBorders>
            <w:vAlign w:val="center"/>
          </w:tcPr>
          <w:p w14:paraId="652450BC">
            <w:pPr>
              <w:pStyle w:val="29"/>
              <w:spacing w:line="560" w:lineRule="exact"/>
              <w:jc w:val="left"/>
              <w:rPr>
                <w:rFonts w:ascii="仿宋" w:hAnsi="仿宋" w:eastAsia="仿宋" w:cs="仿宋"/>
                <w:color w:val="auto"/>
                <w:sz w:val="24"/>
                <w:szCs w:val="24"/>
                <w:highlight w:val="none"/>
              </w:rPr>
            </w:pPr>
          </w:p>
        </w:tc>
      </w:tr>
      <w:tr w14:paraId="3043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328" w:type="dxa"/>
            <w:vAlign w:val="center"/>
          </w:tcPr>
          <w:p w14:paraId="6D9C0BB7">
            <w:pPr>
              <w:pStyle w:val="29"/>
              <w:spacing w:line="5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宿舍管理</w:t>
            </w:r>
          </w:p>
        </w:tc>
        <w:tc>
          <w:tcPr>
            <w:tcW w:w="5444" w:type="dxa"/>
            <w:vAlign w:val="center"/>
          </w:tcPr>
          <w:p w14:paraId="52A58C83">
            <w:pPr>
              <w:pStyle w:val="29"/>
              <w:spacing w:line="5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负责宿舍楼管理工作，宿舍公共区域（门厅、走廊、楼梯、卫生间等）保洁。</w:t>
            </w:r>
          </w:p>
        </w:tc>
        <w:tc>
          <w:tcPr>
            <w:tcW w:w="0" w:type="auto"/>
            <w:vAlign w:val="center"/>
          </w:tcPr>
          <w:p w14:paraId="54079325">
            <w:pPr>
              <w:pStyle w:val="29"/>
              <w:spacing w:line="5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女生宿舍须为女性</w:t>
            </w:r>
          </w:p>
        </w:tc>
      </w:tr>
      <w:tr w14:paraId="4698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328" w:type="dxa"/>
            <w:vAlign w:val="center"/>
          </w:tcPr>
          <w:p w14:paraId="31B9C69A">
            <w:pPr>
              <w:pStyle w:val="2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绿化管养</w:t>
            </w:r>
          </w:p>
        </w:tc>
        <w:tc>
          <w:tcPr>
            <w:tcW w:w="5444" w:type="dxa"/>
          </w:tcPr>
          <w:p w14:paraId="1E2D02E5">
            <w:pPr>
              <w:pStyle w:val="29"/>
              <w:spacing w:line="560" w:lineRule="exact"/>
              <w:jc w:val="left"/>
              <w:rPr>
                <w:rFonts w:ascii="仿宋" w:hAnsi="仿宋" w:eastAsia="仿宋" w:cs="仿宋"/>
                <w:color w:val="auto"/>
                <w:highlight w:val="none"/>
              </w:rPr>
            </w:pPr>
            <w:r>
              <w:rPr>
                <w:rFonts w:hint="eastAsia" w:ascii="仿宋" w:hAnsi="仿宋" w:eastAsia="仿宋" w:cs="仿宋"/>
                <w:color w:val="auto"/>
                <w:sz w:val="24"/>
                <w:szCs w:val="24"/>
                <w:highlight w:val="none"/>
              </w:rPr>
              <w:t>负责校园区域绿化管养，参照《宿迁市园林绿化养护管理标准》中的二级绿化养护标准相关标准要求。主要负责校内绿化修剪、浇水、施肥、病虫防治、冬季保暖等。</w:t>
            </w:r>
          </w:p>
        </w:tc>
        <w:tc>
          <w:tcPr>
            <w:tcW w:w="0" w:type="auto"/>
          </w:tcPr>
          <w:p w14:paraId="2FF45028">
            <w:pPr>
              <w:pStyle w:val="29"/>
              <w:spacing w:line="560" w:lineRule="exact"/>
              <w:jc w:val="left"/>
              <w:rPr>
                <w:rFonts w:ascii="仿宋" w:hAnsi="仿宋" w:eastAsia="仿宋" w:cs="仿宋"/>
                <w:color w:val="auto"/>
                <w:szCs w:val="21"/>
                <w:highlight w:val="none"/>
              </w:rPr>
            </w:pPr>
          </w:p>
        </w:tc>
      </w:tr>
      <w:tr w14:paraId="3B7E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328" w:type="dxa"/>
            <w:shd w:val="clear" w:color="auto" w:fill="auto"/>
            <w:vAlign w:val="center"/>
          </w:tcPr>
          <w:p w14:paraId="429EF600">
            <w:pPr>
              <w:pStyle w:val="2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水电维修</w:t>
            </w:r>
          </w:p>
        </w:tc>
        <w:tc>
          <w:tcPr>
            <w:tcW w:w="5444" w:type="dxa"/>
            <w:shd w:val="clear" w:color="auto" w:fill="auto"/>
          </w:tcPr>
          <w:p w14:paraId="047F6A20">
            <w:pPr>
              <w:pStyle w:val="29"/>
              <w:spacing w:line="560" w:lineRule="exact"/>
              <w:jc w:val="left"/>
              <w:rPr>
                <w:rFonts w:ascii="仿宋" w:hAnsi="仿宋" w:eastAsia="仿宋" w:cs="仿宋"/>
                <w:color w:val="auto"/>
                <w:highlight w:val="none"/>
              </w:rPr>
            </w:pPr>
            <w:r>
              <w:rPr>
                <w:rFonts w:hint="eastAsia" w:ascii="仿宋" w:hAnsi="仿宋" w:eastAsia="仿宋" w:cs="仿宋"/>
                <w:color w:val="auto"/>
                <w:sz w:val="24"/>
                <w:szCs w:val="24"/>
                <w:highlight w:val="none"/>
              </w:rPr>
              <w:t>校内水电管网维护、设施设备维修更换、管道疏通、故障检修、日常检查维护等（设备、材料由采购人提供）</w:t>
            </w:r>
          </w:p>
        </w:tc>
        <w:tc>
          <w:tcPr>
            <w:tcW w:w="0" w:type="auto"/>
            <w:shd w:val="clear" w:color="auto" w:fill="auto"/>
          </w:tcPr>
          <w:p w14:paraId="5C280BBD">
            <w:pPr>
              <w:pStyle w:val="29"/>
              <w:spacing w:line="5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须具有《低压电工证》</w:t>
            </w:r>
          </w:p>
        </w:tc>
      </w:tr>
      <w:tr w14:paraId="3D76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328" w:type="dxa"/>
            <w:shd w:val="clear" w:color="auto" w:fill="auto"/>
            <w:vAlign w:val="center"/>
          </w:tcPr>
          <w:p w14:paraId="31C63B7C">
            <w:pPr>
              <w:pStyle w:val="29"/>
              <w:spacing w:line="5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消防设施操作管理</w:t>
            </w:r>
          </w:p>
        </w:tc>
        <w:tc>
          <w:tcPr>
            <w:tcW w:w="5444" w:type="dxa"/>
            <w:shd w:val="clear" w:color="auto" w:fill="auto"/>
          </w:tcPr>
          <w:p w14:paraId="719B77CE">
            <w:pPr>
              <w:pStyle w:val="29"/>
              <w:spacing w:line="5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消防系统设施设备管理、操作；简单维修维护保养等（设备、材料由采购人提供），确保学校消防设施设备安全正常运行。</w:t>
            </w:r>
          </w:p>
        </w:tc>
        <w:tc>
          <w:tcPr>
            <w:tcW w:w="0" w:type="auto"/>
            <w:shd w:val="clear" w:color="auto" w:fill="auto"/>
          </w:tcPr>
          <w:p w14:paraId="11147F72">
            <w:pPr>
              <w:pStyle w:val="29"/>
              <w:spacing w:line="5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须具有《消防设施操作员证》</w:t>
            </w:r>
          </w:p>
        </w:tc>
      </w:tr>
      <w:tr w14:paraId="2913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328" w:type="dxa"/>
            <w:shd w:val="clear" w:color="auto" w:fill="auto"/>
            <w:vAlign w:val="center"/>
          </w:tcPr>
          <w:p w14:paraId="11816CCA">
            <w:pPr>
              <w:pStyle w:val="2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杂工 </w:t>
            </w:r>
          </w:p>
        </w:tc>
        <w:tc>
          <w:tcPr>
            <w:tcW w:w="5444" w:type="dxa"/>
            <w:shd w:val="clear" w:color="auto" w:fill="auto"/>
          </w:tcPr>
          <w:p w14:paraId="181C36D5">
            <w:pPr>
              <w:pStyle w:val="29"/>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1.日常维修：修理损坏的课桌椅、门窗、门锁、橱柜、窗帘、黑板等教学和办公家具。墙面、地面的简单修补，协助水电工做好水、电、管道的维修、维护。</w:t>
            </w:r>
          </w:p>
          <w:p w14:paraId="028D6495">
            <w:pPr>
              <w:pStyle w:val="29"/>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2.物资搬运与场地布置</w:t>
            </w:r>
          </w:p>
          <w:p w14:paraId="49CAC5C0">
            <w:pPr>
              <w:pStyle w:val="30"/>
              <w:spacing w:before="0" w:after="0" w:line="400" w:lineRule="exact"/>
              <w:jc w:val="both"/>
              <w:rPr>
                <w:color w:val="auto"/>
                <w:highlight w:val="none"/>
              </w:rPr>
            </w:pPr>
            <w:r>
              <w:rPr>
                <w:rFonts w:hint="eastAsia" w:ascii="仿宋" w:hAnsi="仿宋" w:eastAsia="仿宋" w:cs="仿宋"/>
                <w:b w:val="0"/>
                <w:bCs w:val="0"/>
                <w:color w:val="auto"/>
                <w:sz w:val="24"/>
                <w:szCs w:val="24"/>
                <w:highlight w:val="none"/>
              </w:rPr>
              <w:t>3.设施设备的简单维护：冬季消防设施的包裹保暖，雨季排水沟清理、屋顶检查、台风前转移易坠物等。</w:t>
            </w:r>
          </w:p>
        </w:tc>
        <w:tc>
          <w:tcPr>
            <w:tcW w:w="0" w:type="auto"/>
            <w:shd w:val="clear" w:color="auto" w:fill="auto"/>
          </w:tcPr>
          <w:p w14:paraId="4FEA4B95">
            <w:pPr>
              <w:pStyle w:val="29"/>
              <w:spacing w:line="560" w:lineRule="exact"/>
              <w:jc w:val="left"/>
              <w:rPr>
                <w:rFonts w:ascii="仿宋" w:hAnsi="仿宋" w:eastAsia="仿宋" w:cs="仿宋"/>
                <w:color w:val="auto"/>
                <w:szCs w:val="21"/>
                <w:highlight w:val="none"/>
              </w:rPr>
            </w:pPr>
          </w:p>
        </w:tc>
      </w:tr>
    </w:tbl>
    <w:p w14:paraId="7FB43963">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三、服务标准与要求</w:t>
      </w:r>
    </w:p>
    <w:p w14:paraId="1019B35A">
      <w:pPr>
        <w:pStyle w:val="11"/>
        <w:spacing w:before="0" w:after="0" w:line="360" w:lineRule="auto"/>
        <w:rPr>
          <w:rFonts w:ascii="仿宋" w:hAnsi="仿宋" w:eastAsia="仿宋" w:cs="仿宋"/>
          <w:b/>
          <w:bCs/>
          <w:color w:val="auto"/>
          <w:sz w:val="24"/>
          <w:szCs w:val="24"/>
          <w:highlight w:val="none"/>
        </w:rPr>
      </w:pPr>
      <w:bookmarkStart w:id="11" w:name="_Toc26485"/>
      <w:bookmarkStart w:id="12" w:name="_Toc10498"/>
      <w:bookmarkStart w:id="13" w:name="_Toc26156"/>
      <w:r>
        <w:rPr>
          <w:rFonts w:hint="eastAsia" w:ascii="仿宋" w:hAnsi="仿宋" w:eastAsia="仿宋" w:cs="仿宋"/>
          <w:b/>
          <w:bCs/>
          <w:color w:val="auto"/>
          <w:sz w:val="24"/>
          <w:szCs w:val="24"/>
          <w:highlight w:val="none"/>
        </w:rPr>
        <w:t>3.</w:t>
      </w:r>
      <w:bookmarkEnd w:id="11"/>
      <w:bookmarkEnd w:id="12"/>
      <w:bookmarkEnd w:id="13"/>
      <w:r>
        <w:rPr>
          <w:rFonts w:hint="eastAsia" w:ascii="仿宋" w:hAnsi="仿宋" w:eastAsia="仿宋" w:cs="仿宋"/>
          <w:b/>
          <w:bCs/>
          <w:color w:val="auto"/>
          <w:sz w:val="24"/>
          <w:szCs w:val="24"/>
          <w:highlight w:val="none"/>
        </w:rPr>
        <w:t>1基本服务</w:t>
      </w:r>
    </w:p>
    <w:tbl>
      <w:tblPr>
        <w:tblStyle w:val="6"/>
        <w:tblW w:w="4723" w:type="pct"/>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3"/>
        <w:gridCol w:w="1692"/>
        <w:gridCol w:w="5865"/>
      </w:tblGrid>
      <w:tr w14:paraId="0C5D2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93" w:type="dxa"/>
            <w:vAlign w:val="center"/>
          </w:tcPr>
          <w:p w14:paraId="2EABF55A">
            <w:pPr>
              <w:widowControl/>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1692" w:type="dxa"/>
            <w:vAlign w:val="center"/>
          </w:tcPr>
          <w:p w14:paraId="101A0F88">
            <w:pPr>
              <w:widowControl/>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服务内容</w:t>
            </w:r>
          </w:p>
        </w:tc>
        <w:tc>
          <w:tcPr>
            <w:tcW w:w="5865" w:type="dxa"/>
            <w:vAlign w:val="center"/>
          </w:tcPr>
          <w:p w14:paraId="6AFEE401">
            <w:pPr>
              <w:widowControl/>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服务标准</w:t>
            </w:r>
          </w:p>
        </w:tc>
      </w:tr>
      <w:tr w14:paraId="2EF9F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restart"/>
            <w:vAlign w:val="center"/>
          </w:tcPr>
          <w:p w14:paraId="5B7D4514">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692" w:type="dxa"/>
            <w:vMerge w:val="restart"/>
            <w:vAlign w:val="center"/>
          </w:tcPr>
          <w:p w14:paraId="28AFAA83">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目标与责任</w:t>
            </w:r>
          </w:p>
        </w:tc>
        <w:tc>
          <w:tcPr>
            <w:tcW w:w="5865" w:type="dxa"/>
            <w:vAlign w:val="center"/>
          </w:tcPr>
          <w:p w14:paraId="1A1F5495">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（1）结合采购人要求及物业服务实际情况，制定年度管理目标，明确责任分工，并制定配套实施方案。</w:t>
            </w:r>
          </w:p>
        </w:tc>
      </w:tr>
      <w:tr w14:paraId="2B653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0203C4F4">
            <w:pPr>
              <w:widowControl/>
              <w:spacing w:line="360" w:lineRule="exact"/>
              <w:jc w:val="center"/>
              <w:rPr>
                <w:rFonts w:ascii="仿宋" w:hAnsi="仿宋" w:eastAsia="仿宋" w:cs="仿宋"/>
                <w:color w:val="auto"/>
                <w:highlight w:val="none"/>
              </w:rPr>
            </w:pPr>
          </w:p>
        </w:tc>
        <w:tc>
          <w:tcPr>
            <w:tcW w:w="1692" w:type="dxa"/>
            <w:vMerge w:val="continue"/>
            <w:vAlign w:val="center"/>
          </w:tcPr>
          <w:p w14:paraId="71E7382B">
            <w:pPr>
              <w:widowControl/>
              <w:spacing w:line="360" w:lineRule="exact"/>
              <w:rPr>
                <w:rFonts w:ascii="仿宋" w:hAnsi="仿宋" w:eastAsia="仿宋" w:cs="仿宋"/>
                <w:color w:val="auto"/>
                <w:highlight w:val="none"/>
              </w:rPr>
            </w:pPr>
          </w:p>
        </w:tc>
        <w:tc>
          <w:tcPr>
            <w:tcW w:w="5865" w:type="dxa"/>
            <w:vAlign w:val="center"/>
          </w:tcPr>
          <w:p w14:paraId="291EC9B8">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（2）配合采购人各类重大活动现场保洁、秩序维护、会务保障等。</w:t>
            </w:r>
          </w:p>
        </w:tc>
      </w:tr>
      <w:tr w14:paraId="05CBC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restart"/>
            <w:vAlign w:val="center"/>
          </w:tcPr>
          <w:p w14:paraId="3CEA4584">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692" w:type="dxa"/>
            <w:vMerge w:val="restart"/>
            <w:vAlign w:val="center"/>
          </w:tcPr>
          <w:p w14:paraId="659A17F1">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服务人员要求</w:t>
            </w:r>
          </w:p>
        </w:tc>
        <w:tc>
          <w:tcPr>
            <w:tcW w:w="5865" w:type="dxa"/>
            <w:vAlign w:val="center"/>
          </w:tcPr>
          <w:p w14:paraId="473CA3B3">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（1）每季度至少开展1次岗位技能、职业素质、服务知识、客户文化、绿色节能环保等教育培训，并进行适当形式的考核。</w:t>
            </w:r>
          </w:p>
        </w:tc>
      </w:tr>
      <w:tr w14:paraId="4D79C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594381F7">
            <w:pPr>
              <w:spacing w:line="360" w:lineRule="exact"/>
              <w:jc w:val="center"/>
              <w:rPr>
                <w:rFonts w:ascii="仿宋" w:hAnsi="仿宋" w:eastAsia="仿宋" w:cs="仿宋"/>
                <w:color w:val="auto"/>
                <w:highlight w:val="none"/>
              </w:rPr>
            </w:pPr>
          </w:p>
        </w:tc>
        <w:tc>
          <w:tcPr>
            <w:tcW w:w="1692" w:type="dxa"/>
            <w:vMerge w:val="continue"/>
            <w:vAlign w:val="center"/>
          </w:tcPr>
          <w:p w14:paraId="135BCBD3">
            <w:pPr>
              <w:spacing w:line="360" w:lineRule="exact"/>
              <w:rPr>
                <w:rFonts w:ascii="仿宋" w:hAnsi="仿宋" w:eastAsia="仿宋" w:cs="仿宋"/>
                <w:color w:val="auto"/>
                <w:highlight w:val="none"/>
              </w:rPr>
            </w:pPr>
          </w:p>
        </w:tc>
        <w:tc>
          <w:tcPr>
            <w:tcW w:w="5865" w:type="dxa"/>
            <w:vAlign w:val="center"/>
          </w:tcPr>
          <w:p w14:paraId="3DF8E942">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Cs/>
                <w:color w:val="auto"/>
                <w:highlight w:val="none"/>
              </w:rPr>
              <w:t>服务人员的年龄、学历、工作经验及资格条件应当与所在岗位能力要求相匹配，到岗前应当经过必要的岗前培训以达到岗位能力要求，国家、行业规定应当取得职业资格证书或特种作业证书的，应当按规定持证上岗。</w:t>
            </w:r>
          </w:p>
        </w:tc>
      </w:tr>
      <w:tr w14:paraId="78AD4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493" w:type="dxa"/>
            <w:vMerge w:val="continue"/>
            <w:vAlign w:val="center"/>
          </w:tcPr>
          <w:p w14:paraId="392722F1">
            <w:pPr>
              <w:spacing w:line="360" w:lineRule="exact"/>
              <w:jc w:val="center"/>
              <w:rPr>
                <w:rFonts w:ascii="仿宋" w:hAnsi="仿宋" w:eastAsia="仿宋" w:cs="仿宋"/>
                <w:color w:val="auto"/>
                <w:highlight w:val="none"/>
              </w:rPr>
            </w:pPr>
          </w:p>
        </w:tc>
        <w:tc>
          <w:tcPr>
            <w:tcW w:w="1692" w:type="dxa"/>
            <w:vMerge w:val="continue"/>
            <w:vAlign w:val="center"/>
          </w:tcPr>
          <w:p w14:paraId="6D3F99F7">
            <w:pPr>
              <w:spacing w:line="360" w:lineRule="exact"/>
              <w:rPr>
                <w:rFonts w:ascii="仿宋" w:hAnsi="仿宋" w:eastAsia="仿宋" w:cs="仿宋"/>
                <w:color w:val="auto"/>
                <w:highlight w:val="none"/>
              </w:rPr>
            </w:pPr>
          </w:p>
        </w:tc>
        <w:tc>
          <w:tcPr>
            <w:tcW w:w="5865" w:type="dxa"/>
            <w:vAlign w:val="center"/>
          </w:tcPr>
          <w:p w14:paraId="11107379">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bCs/>
                <w:color w:val="auto"/>
                <w:highlight w:val="none"/>
              </w:rPr>
              <w:t>如采购人认为服务人员不适应岗位要求或存在其他影响工作的，可要求供应商进行调换。如因供应商原因对服务人员进行调换，应当经采购人同意。</w:t>
            </w:r>
          </w:p>
        </w:tc>
      </w:tr>
      <w:tr w14:paraId="1EFFD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0C67A1C9">
            <w:pPr>
              <w:spacing w:line="360" w:lineRule="exact"/>
              <w:jc w:val="center"/>
              <w:rPr>
                <w:rFonts w:ascii="仿宋" w:hAnsi="仿宋" w:eastAsia="仿宋" w:cs="仿宋"/>
                <w:color w:val="auto"/>
                <w:highlight w:val="none"/>
              </w:rPr>
            </w:pPr>
          </w:p>
        </w:tc>
        <w:tc>
          <w:tcPr>
            <w:tcW w:w="1692" w:type="dxa"/>
            <w:vMerge w:val="continue"/>
            <w:vAlign w:val="center"/>
          </w:tcPr>
          <w:p w14:paraId="4C3D0A04">
            <w:pPr>
              <w:spacing w:line="360" w:lineRule="exact"/>
              <w:rPr>
                <w:rFonts w:ascii="仿宋" w:hAnsi="仿宋" w:eastAsia="仿宋" w:cs="仿宋"/>
                <w:color w:val="auto"/>
                <w:highlight w:val="none"/>
              </w:rPr>
            </w:pPr>
          </w:p>
        </w:tc>
        <w:tc>
          <w:tcPr>
            <w:tcW w:w="5865" w:type="dxa"/>
            <w:vAlign w:val="center"/>
          </w:tcPr>
          <w:p w14:paraId="1496F265">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（4）着装分类统一，佩戴标识。仪容整洁、姿态端正、举止文明。用语文明礼貌，态度温和耐心。</w:t>
            </w:r>
          </w:p>
        </w:tc>
      </w:tr>
      <w:tr w14:paraId="0A2DC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restart"/>
            <w:vAlign w:val="center"/>
          </w:tcPr>
          <w:p w14:paraId="224533A0">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1692" w:type="dxa"/>
            <w:vMerge w:val="restart"/>
            <w:vAlign w:val="center"/>
          </w:tcPr>
          <w:p w14:paraId="414D923C">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保密和思想政治教育</w:t>
            </w:r>
          </w:p>
        </w:tc>
        <w:tc>
          <w:tcPr>
            <w:tcW w:w="5865" w:type="dxa"/>
            <w:vAlign w:val="center"/>
          </w:tcPr>
          <w:p w14:paraId="6D4EA4F3">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（1）建立保密管理制度。制度内容应当包括但不限于：①明确重点要害岗位保密职责。②对涉密工作岗位的保密要求。</w:t>
            </w:r>
          </w:p>
        </w:tc>
      </w:tr>
      <w:tr w14:paraId="03D62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1C8FA913">
            <w:pPr>
              <w:spacing w:line="360" w:lineRule="exact"/>
              <w:jc w:val="center"/>
              <w:rPr>
                <w:rFonts w:ascii="仿宋" w:hAnsi="仿宋" w:eastAsia="仿宋" w:cs="仿宋"/>
                <w:color w:val="auto"/>
                <w:highlight w:val="none"/>
              </w:rPr>
            </w:pPr>
          </w:p>
        </w:tc>
        <w:tc>
          <w:tcPr>
            <w:tcW w:w="1692" w:type="dxa"/>
            <w:vMerge w:val="continue"/>
            <w:vAlign w:val="center"/>
          </w:tcPr>
          <w:p w14:paraId="0DC6F6FB">
            <w:pPr>
              <w:spacing w:line="360" w:lineRule="exact"/>
              <w:rPr>
                <w:rFonts w:ascii="仿宋" w:hAnsi="仿宋" w:eastAsia="仿宋" w:cs="仿宋"/>
                <w:color w:val="auto"/>
                <w:highlight w:val="none"/>
              </w:rPr>
            </w:pPr>
          </w:p>
        </w:tc>
        <w:tc>
          <w:tcPr>
            <w:tcW w:w="5865" w:type="dxa"/>
            <w:vAlign w:val="center"/>
          </w:tcPr>
          <w:p w14:paraId="321BF331">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（2）发现服务人员违法违规或重大过失，及时报告采购人，并采取必要补救措施。</w:t>
            </w:r>
          </w:p>
        </w:tc>
      </w:tr>
      <w:tr w14:paraId="4795C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restart"/>
            <w:vAlign w:val="center"/>
          </w:tcPr>
          <w:p w14:paraId="7AF64575">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692" w:type="dxa"/>
            <w:vMerge w:val="restart"/>
            <w:vAlign w:val="center"/>
          </w:tcPr>
          <w:p w14:paraId="64C77103">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档案管理</w:t>
            </w:r>
          </w:p>
        </w:tc>
        <w:tc>
          <w:tcPr>
            <w:tcW w:w="5865" w:type="dxa"/>
            <w:vAlign w:val="center"/>
          </w:tcPr>
          <w:p w14:paraId="674F0B64">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（1）建立物业信息，准确、及时地对文件资料和服务记录进行归档保存，并确保其物理安全。</w:t>
            </w:r>
          </w:p>
        </w:tc>
      </w:tr>
      <w:tr w14:paraId="31D0B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3CB99CA5">
            <w:pPr>
              <w:widowControl/>
              <w:spacing w:line="360" w:lineRule="exact"/>
              <w:jc w:val="center"/>
              <w:rPr>
                <w:rFonts w:ascii="仿宋" w:hAnsi="仿宋" w:eastAsia="仿宋" w:cs="仿宋"/>
                <w:color w:val="auto"/>
                <w:highlight w:val="none"/>
              </w:rPr>
            </w:pPr>
          </w:p>
        </w:tc>
        <w:tc>
          <w:tcPr>
            <w:tcW w:w="1692" w:type="dxa"/>
            <w:vMerge w:val="continue"/>
            <w:vAlign w:val="center"/>
          </w:tcPr>
          <w:p w14:paraId="5BDCC609">
            <w:pPr>
              <w:widowControl/>
              <w:spacing w:line="360" w:lineRule="exact"/>
              <w:rPr>
                <w:rFonts w:ascii="仿宋" w:hAnsi="仿宋" w:eastAsia="仿宋" w:cs="仿宋"/>
                <w:color w:val="auto"/>
                <w:highlight w:val="none"/>
              </w:rPr>
            </w:pPr>
          </w:p>
        </w:tc>
        <w:tc>
          <w:tcPr>
            <w:tcW w:w="5865" w:type="dxa"/>
            <w:vAlign w:val="center"/>
          </w:tcPr>
          <w:p w14:paraId="0C94DC4B">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档案和记录齐全，包括但不限于：①采购人建议与投诉等。教育培训和考核记录。保密、思想政治教育培训记录。②保洁服务：工作日志、清洁检查表、用品清单、客户反馈表等；③绿化服务：绿化总平面图、清洁整改记录、消杀记录等。④宿舍管理服务：宿舍进出登记等。</w:t>
            </w:r>
          </w:p>
        </w:tc>
      </w:tr>
      <w:tr w14:paraId="6D430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2F8A9D99">
            <w:pPr>
              <w:widowControl/>
              <w:spacing w:line="360" w:lineRule="exact"/>
              <w:jc w:val="center"/>
              <w:rPr>
                <w:rFonts w:ascii="仿宋" w:hAnsi="仿宋" w:eastAsia="仿宋" w:cs="仿宋"/>
                <w:color w:val="auto"/>
                <w:highlight w:val="none"/>
              </w:rPr>
            </w:pPr>
          </w:p>
        </w:tc>
        <w:tc>
          <w:tcPr>
            <w:tcW w:w="1692" w:type="dxa"/>
            <w:vMerge w:val="continue"/>
            <w:vAlign w:val="center"/>
          </w:tcPr>
          <w:p w14:paraId="59F34BAA">
            <w:pPr>
              <w:widowControl/>
              <w:spacing w:line="360" w:lineRule="exact"/>
              <w:rPr>
                <w:rFonts w:ascii="仿宋" w:hAnsi="仿宋" w:eastAsia="仿宋" w:cs="仿宋"/>
                <w:color w:val="auto"/>
                <w:highlight w:val="none"/>
              </w:rPr>
            </w:pPr>
          </w:p>
        </w:tc>
        <w:tc>
          <w:tcPr>
            <w:tcW w:w="5865" w:type="dxa"/>
            <w:vAlign w:val="center"/>
          </w:tcPr>
          <w:p w14:paraId="204C59F3">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（3）遵守采购人的信息、档案资料保密要求，未经许可，不得将建筑物平面图等资料转作其他用途或向其他单位、个人提供。</w:t>
            </w:r>
          </w:p>
        </w:tc>
      </w:tr>
      <w:tr w14:paraId="3F128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0F18692B">
            <w:pPr>
              <w:widowControl/>
              <w:spacing w:line="360" w:lineRule="exact"/>
              <w:jc w:val="center"/>
              <w:rPr>
                <w:rFonts w:ascii="仿宋" w:hAnsi="仿宋" w:eastAsia="仿宋" w:cs="仿宋"/>
                <w:color w:val="auto"/>
                <w:highlight w:val="none"/>
              </w:rPr>
            </w:pPr>
          </w:p>
        </w:tc>
        <w:tc>
          <w:tcPr>
            <w:tcW w:w="1692" w:type="dxa"/>
            <w:vMerge w:val="continue"/>
            <w:vAlign w:val="center"/>
          </w:tcPr>
          <w:p w14:paraId="3E1A2537">
            <w:pPr>
              <w:widowControl/>
              <w:spacing w:line="360" w:lineRule="exact"/>
              <w:rPr>
                <w:rFonts w:ascii="仿宋" w:hAnsi="仿宋" w:eastAsia="仿宋" w:cs="仿宋"/>
                <w:color w:val="auto"/>
                <w:highlight w:val="none"/>
              </w:rPr>
            </w:pPr>
          </w:p>
        </w:tc>
        <w:tc>
          <w:tcPr>
            <w:tcW w:w="5865" w:type="dxa"/>
            <w:vAlign w:val="center"/>
          </w:tcPr>
          <w:p w14:paraId="21628391">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（4）履约结束后，相关资料交还采购人，采购人按政府采购相关规定存档。</w:t>
            </w:r>
          </w:p>
        </w:tc>
      </w:tr>
      <w:tr w14:paraId="244E6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restart"/>
            <w:vAlign w:val="center"/>
          </w:tcPr>
          <w:p w14:paraId="4C037278">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692" w:type="dxa"/>
            <w:vMerge w:val="restart"/>
            <w:vAlign w:val="center"/>
          </w:tcPr>
          <w:p w14:paraId="0ED3D786">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服务改进</w:t>
            </w:r>
          </w:p>
        </w:tc>
        <w:tc>
          <w:tcPr>
            <w:tcW w:w="5865" w:type="dxa"/>
            <w:vAlign w:val="center"/>
          </w:tcPr>
          <w:p w14:paraId="69BD51B4">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（1）明确负责人，定期对物业服务过程进行自查，结合反馈意见与评价结果采取改进措施，持续提升管理与服务水平。</w:t>
            </w:r>
          </w:p>
        </w:tc>
      </w:tr>
      <w:tr w14:paraId="36480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47D7A3D9">
            <w:pPr>
              <w:widowControl/>
              <w:spacing w:line="360" w:lineRule="exact"/>
              <w:jc w:val="center"/>
              <w:rPr>
                <w:rFonts w:ascii="仿宋" w:hAnsi="仿宋" w:eastAsia="仿宋" w:cs="仿宋"/>
                <w:color w:val="auto"/>
                <w:highlight w:val="none"/>
              </w:rPr>
            </w:pPr>
          </w:p>
        </w:tc>
        <w:tc>
          <w:tcPr>
            <w:tcW w:w="1692" w:type="dxa"/>
            <w:vMerge w:val="continue"/>
            <w:vAlign w:val="center"/>
          </w:tcPr>
          <w:p w14:paraId="246FC5C7">
            <w:pPr>
              <w:widowControl/>
              <w:spacing w:line="360" w:lineRule="exact"/>
              <w:rPr>
                <w:rFonts w:ascii="仿宋" w:hAnsi="仿宋" w:eastAsia="仿宋" w:cs="仿宋"/>
                <w:color w:val="auto"/>
                <w:highlight w:val="none"/>
              </w:rPr>
            </w:pPr>
          </w:p>
        </w:tc>
        <w:tc>
          <w:tcPr>
            <w:tcW w:w="5865" w:type="dxa"/>
            <w:vAlign w:val="center"/>
          </w:tcPr>
          <w:p w14:paraId="5EB9BDC6">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（2）对不合格服务进行控制，对不合格服务的原因进行识别和分析，及时采取纠正措施，消除不合格的原因，防止不合格再发生。</w:t>
            </w:r>
          </w:p>
        </w:tc>
      </w:tr>
      <w:tr w14:paraId="107EE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76E310C4">
            <w:pPr>
              <w:widowControl/>
              <w:spacing w:line="360" w:lineRule="exact"/>
              <w:jc w:val="center"/>
              <w:rPr>
                <w:rFonts w:ascii="仿宋" w:hAnsi="仿宋" w:eastAsia="仿宋" w:cs="仿宋"/>
                <w:color w:val="auto"/>
                <w:highlight w:val="none"/>
              </w:rPr>
            </w:pPr>
          </w:p>
        </w:tc>
        <w:tc>
          <w:tcPr>
            <w:tcW w:w="1692" w:type="dxa"/>
            <w:vMerge w:val="continue"/>
            <w:vAlign w:val="center"/>
          </w:tcPr>
          <w:p w14:paraId="4475779D">
            <w:pPr>
              <w:widowControl/>
              <w:spacing w:line="360" w:lineRule="exact"/>
              <w:rPr>
                <w:rFonts w:ascii="仿宋" w:hAnsi="仿宋" w:eastAsia="仿宋" w:cs="仿宋"/>
                <w:color w:val="auto"/>
                <w:highlight w:val="none"/>
              </w:rPr>
            </w:pPr>
          </w:p>
        </w:tc>
        <w:tc>
          <w:tcPr>
            <w:tcW w:w="5865" w:type="dxa"/>
            <w:vAlign w:val="center"/>
          </w:tcPr>
          <w:p w14:paraId="0633951D">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（3）需整改问题及时整改完成。</w:t>
            </w:r>
          </w:p>
        </w:tc>
      </w:tr>
      <w:tr w14:paraId="04CCB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restart"/>
            <w:vAlign w:val="center"/>
          </w:tcPr>
          <w:p w14:paraId="4518D3FC">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1692" w:type="dxa"/>
            <w:vMerge w:val="restart"/>
            <w:vAlign w:val="center"/>
          </w:tcPr>
          <w:p w14:paraId="5730BB53">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服务方案及工作制度</w:t>
            </w:r>
          </w:p>
        </w:tc>
        <w:tc>
          <w:tcPr>
            <w:tcW w:w="5865" w:type="dxa"/>
            <w:vAlign w:val="center"/>
          </w:tcPr>
          <w:p w14:paraId="731DFC4F">
            <w:pPr>
              <w:widowControl/>
              <w:spacing w:line="360" w:lineRule="exact"/>
              <w:ind w:firstLine="210"/>
              <w:jc w:val="left"/>
              <w:rPr>
                <w:rFonts w:ascii="仿宋" w:hAnsi="仿宋" w:eastAsia="仿宋" w:cs="仿宋"/>
                <w:bCs/>
                <w:color w:val="auto"/>
                <w:highlight w:val="none"/>
              </w:rPr>
            </w:pPr>
            <w:r>
              <w:rPr>
                <w:rFonts w:hint="eastAsia" w:ascii="仿宋" w:hAnsi="仿宋" w:eastAsia="仿宋" w:cs="仿宋"/>
                <w:color w:val="auto"/>
                <w:highlight w:val="none"/>
              </w:rPr>
              <w:t>（1）制定工作制度，</w:t>
            </w:r>
            <w:r>
              <w:rPr>
                <w:rFonts w:hint="eastAsia" w:ascii="仿宋" w:hAnsi="仿宋" w:eastAsia="仿宋" w:cs="仿宋"/>
                <w:bCs/>
                <w:color w:val="auto"/>
                <w:highlight w:val="none"/>
              </w:rPr>
              <w:t>主要包括：人员录用制度、</w:t>
            </w:r>
            <w:r>
              <w:rPr>
                <w:rFonts w:hint="eastAsia" w:ascii="仿宋" w:hAnsi="仿宋" w:eastAsia="仿宋" w:cs="仿宋"/>
                <w:color w:val="auto"/>
                <w:highlight w:val="none"/>
              </w:rPr>
              <w:t>档案管理制度、</w:t>
            </w:r>
            <w:r>
              <w:rPr>
                <w:rFonts w:hint="eastAsia" w:ascii="仿宋" w:hAnsi="仿宋" w:eastAsia="仿宋" w:cs="仿宋"/>
                <w:bCs/>
                <w:color w:val="auto"/>
                <w:highlight w:val="none"/>
              </w:rPr>
              <w:t>物业服务管理制度、</w:t>
            </w:r>
            <w:r>
              <w:rPr>
                <w:rFonts w:hint="eastAsia" w:ascii="仿宋" w:hAnsi="仿宋" w:eastAsia="仿宋" w:cs="仿宋"/>
                <w:color w:val="auto"/>
                <w:highlight w:val="none"/>
              </w:rPr>
              <w:t>公用设施设备相关管理制度等</w:t>
            </w:r>
            <w:r>
              <w:rPr>
                <w:rFonts w:hint="eastAsia" w:ascii="仿宋" w:hAnsi="仿宋" w:eastAsia="仿宋" w:cs="仿宋"/>
                <w:bCs/>
                <w:color w:val="auto"/>
                <w:highlight w:val="none"/>
              </w:rPr>
              <w:t>。</w:t>
            </w:r>
          </w:p>
        </w:tc>
      </w:tr>
      <w:tr w14:paraId="6997A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77FB13EE">
            <w:pPr>
              <w:widowControl/>
              <w:spacing w:line="360" w:lineRule="exact"/>
              <w:jc w:val="center"/>
              <w:rPr>
                <w:rFonts w:ascii="仿宋" w:hAnsi="仿宋" w:eastAsia="仿宋" w:cs="仿宋"/>
                <w:color w:val="auto"/>
                <w:highlight w:val="none"/>
              </w:rPr>
            </w:pPr>
          </w:p>
        </w:tc>
        <w:tc>
          <w:tcPr>
            <w:tcW w:w="1692" w:type="dxa"/>
            <w:vMerge w:val="continue"/>
            <w:vAlign w:val="center"/>
          </w:tcPr>
          <w:p w14:paraId="5068C4CA">
            <w:pPr>
              <w:widowControl/>
              <w:spacing w:line="360" w:lineRule="exact"/>
              <w:rPr>
                <w:rFonts w:ascii="仿宋" w:hAnsi="仿宋" w:eastAsia="仿宋" w:cs="仿宋"/>
                <w:color w:val="auto"/>
                <w:highlight w:val="none"/>
              </w:rPr>
            </w:pPr>
          </w:p>
        </w:tc>
        <w:tc>
          <w:tcPr>
            <w:tcW w:w="5865" w:type="dxa"/>
            <w:vAlign w:val="center"/>
          </w:tcPr>
          <w:p w14:paraId="698A4841">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（2）制定</w:t>
            </w:r>
            <w:r>
              <w:rPr>
                <w:rFonts w:hint="eastAsia" w:ascii="仿宋" w:hAnsi="仿宋" w:eastAsia="仿宋" w:cs="仿宋"/>
                <w:bCs/>
                <w:color w:val="auto"/>
                <w:highlight w:val="none"/>
              </w:rPr>
              <w:t>项目实施方案，主要包括：交接方案、人员培训方案、人员稳定性方案、保密方案等。</w:t>
            </w:r>
          </w:p>
        </w:tc>
      </w:tr>
      <w:tr w14:paraId="5AD53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1D039F0A">
            <w:pPr>
              <w:widowControl/>
              <w:spacing w:line="360" w:lineRule="exact"/>
              <w:jc w:val="center"/>
              <w:rPr>
                <w:rFonts w:ascii="仿宋" w:hAnsi="仿宋" w:eastAsia="仿宋" w:cs="仿宋"/>
                <w:color w:val="auto"/>
                <w:highlight w:val="none"/>
              </w:rPr>
            </w:pPr>
          </w:p>
        </w:tc>
        <w:tc>
          <w:tcPr>
            <w:tcW w:w="1692" w:type="dxa"/>
            <w:vMerge w:val="continue"/>
            <w:vAlign w:val="center"/>
          </w:tcPr>
          <w:p w14:paraId="00820427">
            <w:pPr>
              <w:widowControl/>
              <w:spacing w:line="360" w:lineRule="exact"/>
              <w:rPr>
                <w:rFonts w:ascii="仿宋" w:hAnsi="仿宋" w:eastAsia="仿宋" w:cs="仿宋"/>
                <w:color w:val="auto"/>
                <w:highlight w:val="none"/>
              </w:rPr>
            </w:pPr>
          </w:p>
        </w:tc>
        <w:tc>
          <w:tcPr>
            <w:tcW w:w="5865" w:type="dxa"/>
            <w:vAlign w:val="center"/>
          </w:tcPr>
          <w:p w14:paraId="011B7868">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（3）制定</w:t>
            </w:r>
            <w:r>
              <w:rPr>
                <w:rFonts w:hint="eastAsia" w:ascii="仿宋" w:hAnsi="仿宋" w:eastAsia="仿宋" w:cs="仿宋"/>
                <w:bCs/>
                <w:color w:val="auto"/>
                <w:highlight w:val="none"/>
              </w:rPr>
              <w:t>物业服务方案，主要包括：绿化服务方案、保洁服务方案、宿舍管理服务方案等。</w:t>
            </w:r>
          </w:p>
        </w:tc>
      </w:tr>
      <w:tr w14:paraId="65FF1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93" w:type="dxa"/>
            <w:vAlign w:val="center"/>
          </w:tcPr>
          <w:p w14:paraId="513959D1">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1692" w:type="dxa"/>
            <w:vAlign w:val="center"/>
          </w:tcPr>
          <w:p w14:paraId="43818015">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物品出入服务</w:t>
            </w:r>
          </w:p>
        </w:tc>
        <w:tc>
          <w:tcPr>
            <w:tcW w:w="5865" w:type="dxa"/>
            <w:vAlign w:val="center"/>
          </w:tcPr>
          <w:p w14:paraId="0279D5DF">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大件物品出入向采购人报告，待采购人确认无误后放行。</w:t>
            </w:r>
          </w:p>
        </w:tc>
      </w:tr>
      <w:tr w14:paraId="5D0AD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restart"/>
            <w:vAlign w:val="center"/>
          </w:tcPr>
          <w:p w14:paraId="2224357E">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1692" w:type="dxa"/>
            <w:vMerge w:val="restart"/>
            <w:vAlign w:val="center"/>
          </w:tcPr>
          <w:p w14:paraId="4ACBDAF4">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服务热线及紧急维修</w:t>
            </w:r>
          </w:p>
        </w:tc>
        <w:tc>
          <w:tcPr>
            <w:tcW w:w="5865" w:type="dxa"/>
            <w:vAlign w:val="center"/>
          </w:tcPr>
          <w:p w14:paraId="642CE0C8">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（1）相关服务人员须保持24小时电话畅通，响应服务需求。</w:t>
            </w:r>
          </w:p>
        </w:tc>
      </w:tr>
      <w:tr w14:paraId="4D16B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1DB5E0B2">
            <w:pPr>
              <w:widowControl/>
              <w:spacing w:line="360" w:lineRule="exact"/>
              <w:jc w:val="center"/>
              <w:rPr>
                <w:rFonts w:ascii="仿宋" w:hAnsi="仿宋" w:eastAsia="仿宋" w:cs="仿宋"/>
                <w:color w:val="auto"/>
                <w:highlight w:val="none"/>
              </w:rPr>
            </w:pPr>
          </w:p>
        </w:tc>
        <w:tc>
          <w:tcPr>
            <w:tcW w:w="1692" w:type="dxa"/>
            <w:vMerge w:val="continue"/>
            <w:vAlign w:val="center"/>
          </w:tcPr>
          <w:p w14:paraId="3544AC2F">
            <w:pPr>
              <w:widowControl/>
              <w:spacing w:line="360" w:lineRule="exact"/>
              <w:rPr>
                <w:rFonts w:ascii="仿宋" w:hAnsi="仿宋" w:eastAsia="仿宋" w:cs="仿宋"/>
                <w:color w:val="auto"/>
                <w:highlight w:val="none"/>
              </w:rPr>
            </w:pPr>
          </w:p>
        </w:tc>
        <w:tc>
          <w:tcPr>
            <w:tcW w:w="5865" w:type="dxa"/>
            <w:vAlign w:val="center"/>
          </w:tcPr>
          <w:p w14:paraId="690EF50A">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（2）紧急维修应当1小时内到达现场，不间断维修直至修复。</w:t>
            </w:r>
          </w:p>
        </w:tc>
      </w:tr>
    </w:tbl>
    <w:p w14:paraId="15696DD6">
      <w:pPr>
        <w:pStyle w:val="11"/>
        <w:spacing w:before="0" w:after="0" w:line="5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3.2绿化管养服务</w:t>
      </w:r>
    </w:p>
    <w:tbl>
      <w:tblPr>
        <w:tblStyle w:val="6"/>
        <w:tblW w:w="500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1524"/>
        <w:gridCol w:w="6272"/>
      </w:tblGrid>
      <w:tr w14:paraId="3761E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26" w:type="dxa"/>
            <w:vAlign w:val="center"/>
          </w:tcPr>
          <w:p w14:paraId="604C50AB">
            <w:pPr>
              <w:widowControl/>
              <w:spacing w:line="360" w:lineRule="exact"/>
              <w:jc w:val="center"/>
              <w:rPr>
                <w:rFonts w:ascii="仿宋" w:hAnsi="仿宋" w:eastAsia="仿宋" w:cs="仿宋"/>
                <w:bCs/>
                <w:color w:val="auto"/>
                <w:highlight w:val="none"/>
              </w:rPr>
            </w:pPr>
            <w:r>
              <w:rPr>
                <w:rFonts w:hint="eastAsia" w:ascii="仿宋" w:hAnsi="仿宋" w:eastAsia="仿宋" w:cs="仿宋"/>
                <w:bCs/>
                <w:color w:val="auto"/>
                <w:highlight w:val="none"/>
              </w:rPr>
              <w:t>序号</w:t>
            </w:r>
          </w:p>
        </w:tc>
        <w:tc>
          <w:tcPr>
            <w:tcW w:w="1524" w:type="dxa"/>
            <w:vAlign w:val="center"/>
          </w:tcPr>
          <w:p w14:paraId="38FF6B36">
            <w:pPr>
              <w:widowControl/>
              <w:spacing w:line="360" w:lineRule="exact"/>
              <w:jc w:val="center"/>
              <w:rPr>
                <w:rFonts w:ascii="仿宋" w:hAnsi="仿宋" w:eastAsia="仿宋" w:cs="仿宋"/>
                <w:bCs/>
                <w:color w:val="auto"/>
                <w:highlight w:val="none"/>
              </w:rPr>
            </w:pPr>
            <w:r>
              <w:rPr>
                <w:rFonts w:hint="eastAsia" w:ascii="仿宋" w:hAnsi="仿宋" w:eastAsia="仿宋" w:cs="仿宋"/>
                <w:bCs/>
                <w:color w:val="auto"/>
                <w:highlight w:val="none"/>
              </w:rPr>
              <w:t>服务内容</w:t>
            </w:r>
          </w:p>
        </w:tc>
        <w:tc>
          <w:tcPr>
            <w:tcW w:w="6272" w:type="dxa"/>
            <w:vAlign w:val="center"/>
          </w:tcPr>
          <w:p w14:paraId="76A390C0">
            <w:pPr>
              <w:widowControl/>
              <w:spacing w:line="360" w:lineRule="exact"/>
              <w:jc w:val="center"/>
              <w:rPr>
                <w:rFonts w:ascii="仿宋" w:hAnsi="仿宋" w:eastAsia="仿宋" w:cs="仿宋"/>
                <w:bCs/>
                <w:color w:val="auto"/>
                <w:highlight w:val="none"/>
              </w:rPr>
            </w:pPr>
            <w:r>
              <w:rPr>
                <w:rFonts w:hint="eastAsia" w:ascii="仿宋" w:hAnsi="仿宋" w:eastAsia="仿宋" w:cs="仿宋"/>
                <w:bCs/>
                <w:color w:val="auto"/>
                <w:highlight w:val="none"/>
              </w:rPr>
              <w:t>服务标准</w:t>
            </w:r>
          </w:p>
        </w:tc>
      </w:tr>
      <w:tr w14:paraId="3CAD7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Merge w:val="restart"/>
            <w:vAlign w:val="center"/>
          </w:tcPr>
          <w:p w14:paraId="284B1868">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524" w:type="dxa"/>
            <w:vMerge w:val="restart"/>
            <w:vAlign w:val="center"/>
          </w:tcPr>
          <w:p w14:paraId="26794F21">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绿化管养</w:t>
            </w:r>
          </w:p>
        </w:tc>
        <w:tc>
          <w:tcPr>
            <w:tcW w:w="6272" w:type="dxa"/>
            <w:vAlign w:val="center"/>
          </w:tcPr>
          <w:p w14:paraId="58DA2B65">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（1）每年绿化草坪、绿篱、珠形、花园、乔灌木及时修剪并负责绿化垃圾清运及处置。</w:t>
            </w:r>
          </w:p>
        </w:tc>
      </w:tr>
      <w:tr w14:paraId="438C0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Merge w:val="continue"/>
            <w:vAlign w:val="center"/>
          </w:tcPr>
          <w:p w14:paraId="52B9BEEA">
            <w:pPr>
              <w:widowControl/>
              <w:spacing w:line="360" w:lineRule="exact"/>
              <w:jc w:val="center"/>
              <w:rPr>
                <w:rFonts w:ascii="仿宋" w:hAnsi="仿宋" w:eastAsia="仿宋" w:cs="仿宋"/>
                <w:color w:val="auto"/>
                <w:highlight w:val="none"/>
              </w:rPr>
            </w:pPr>
          </w:p>
        </w:tc>
        <w:tc>
          <w:tcPr>
            <w:tcW w:w="1524" w:type="dxa"/>
            <w:vMerge w:val="continue"/>
            <w:vAlign w:val="center"/>
          </w:tcPr>
          <w:p w14:paraId="286CCFC3">
            <w:pPr>
              <w:widowControl/>
              <w:spacing w:line="360" w:lineRule="exact"/>
              <w:rPr>
                <w:rFonts w:ascii="仿宋" w:hAnsi="仿宋" w:eastAsia="仿宋" w:cs="仿宋"/>
                <w:color w:val="auto"/>
                <w:highlight w:val="none"/>
              </w:rPr>
            </w:pPr>
          </w:p>
        </w:tc>
        <w:tc>
          <w:tcPr>
            <w:tcW w:w="6272" w:type="dxa"/>
            <w:vAlign w:val="center"/>
          </w:tcPr>
          <w:p w14:paraId="178613A6">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（2）施肥根据苗木按需求而定，高大树木必须根据采购人要求打穴深施。肥料由采购人承担购买。</w:t>
            </w:r>
          </w:p>
        </w:tc>
      </w:tr>
      <w:tr w14:paraId="68289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26" w:type="dxa"/>
            <w:vMerge w:val="continue"/>
            <w:vAlign w:val="center"/>
          </w:tcPr>
          <w:p w14:paraId="12F85B40">
            <w:pPr>
              <w:widowControl/>
              <w:spacing w:line="360" w:lineRule="exact"/>
              <w:jc w:val="center"/>
              <w:rPr>
                <w:rFonts w:ascii="仿宋" w:hAnsi="仿宋" w:eastAsia="仿宋" w:cs="仿宋"/>
                <w:color w:val="auto"/>
                <w:highlight w:val="none"/>
              </w:rPr>
            </w:pPr>
          </w:p>
        </w:tc>
        <w:tc>
          <w:tcPr>
            <w:tcW w:w="1524" w:type="dxa"/>
            <w:vMerge w:val="continue"/>
            <w:vAlign w:val="center"/>
          </w:tcPr>
          <w:p w14:paraId="6526473A">
            <w:pPr>
              <w:widowControl/>
              <w:spacing w:line="360" w:lineRule="exact"/>
              <w:rPr>
                <w:rFonts w:ascii="仿宋" w:hAnsi="仿宋" w:eastAsia="仿宋" w:cs="仿宋"/>
                <w:color w:val="auto"/>
                <w:highlight w:val="none"/>
              </w:rPr>
            </w:pPr>
          </w:p>
        </w:tc>
        <w:tc>
          <w:tcPr>
            <w:tcW w:w="6272" w:type="dxa"/>
            <w:vAlign w:val="center"/>
          </w:tcPr>
          <w:p w14:paraId="701520BE">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（3）农药根据苗木、花草季节性病虫害实际情况及时防治。农药由中标人购买并承担费用，中标人做好病虫害防治工作，避免出现病虫害集中爆发。</w:t>
            </w:r>
          </w:p>
        </w:tc>
      </w:tr>
      <w:tr w14:paraId="374CA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Merge w:val="continue"/>
            <w:vAlign w:val="center"/>
          </w:tcPr>
          <w:p w14:paraId="5FDB23CD">
            <w:pPr>
              <w:widowControl/>
              <w:spacing w:line="360" w:lineRule="exact"/>
              <w:jc w:val="center"/>
              <w:rPr>
                <w:rFonts w:ascii="仿宋" w:hAnsi="仿宋" w:eastAsia="仿宋" w:cs="仿宋"/>
                <w:color w:val="auto"/>
                <w:highlight w:val="none"/>
              </w:rPr>
            </w:pPr>
          </w:p>
        </w:tc>
        <w:tc>
          <w:tcPr>
            <w:tcW w:w="1524" w:type="dxa"/>
            <w:vMerge w:val="continue"/>
            <w:vAlign w:val="center"/>
          </w:tcPr>
          <w:p w14:paraId="7CD9645D">
            <w:pPr>
              <w:widowControl/>
              <w:spacing w:line="360" w:lineRule="exact"/>
              <w:rPr>
                <w:rFonts w:ascii="仿宋" w:hAnsi="仿宋" w:eastAsia="仿宋" w:cs="仿宋"/>
                <w:color w:val="auto"/>
                <w:highlight w:val="none"/>
              </w:rPr>
            </w:pPr>
          </w:p>
        </w:tc>
        <w:tc>
          <w:tcPr>
            <w:tcW w:w="6272" w:type="dxa"/>
            <w:vAlign w:val="center"/>
          </w:tcPr>
          <w:p w14:paraId="5712D453">
            <w:pPr>
              <w:widowControl/>
              <w:spacing w:line="360" w:lineRule="exact"/>
              <w:ind w:firstLine="210"/>
              <w:jc w:val="left"/>
              <w:rPr>
                <w:rFonts w:ascii="仿宋" w:hAnsi="仿宋" w:eastAsia="仿宋" w:cs="仿宋"/>
                <w:color w:val="auto"/>
                <w:sz w:val="24"/>
                <w:szCs w:val="24"/>
                <w:highlight w:val="none"/>
              </w:rPr>
            </w:pPr>
            <w:r>
              <w:rPr>
                <w:rFonts w:hint="eastAsia" w:ascii="仿宋" w:hAnsi="仿宋" w:eastAsia="仿宋" w:cs="仿宋"/>
                <w:color w:val="auto"/>
                <w:highlight w:val="none"/>
              </w:rPr>
              <w:t>（4）做好管养的苗圃、绿地、草坪、树木等清枯枝、清死树、磨叉、除草、施肥、修剪、治虫、过冬保暖等维护工作，确保花草、苗木生长良好，无缺水等现象。对倒伏苗木、大树及时扶正加固，并保证成活、修剪后苗木的整体艺术效果。对院内苗木、大树抽稀、分栽、补植、移植（乔木除外）。</w:t>
            </w:r>
          </w:p>
        </w:tc>
      </w:tr>
      <w:tr w14:paraId="6D7EA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Merge w:val="continue"/>
            <w:vAlign w:val="center"/>
          </w:tcPr>
          <w:p w14:paraId="3E237F71">
            <w:pPr>
              <w:widowControl/>
              <w:spacing w:line="360" w:lineRule="exact"/>
              <w:jc w:val="center"/>
              <w:rPr>
                <w:rFonts w:ascii="仿宋" w:hAnsi="仿宋" w:eastAsia="仿宋" w:cs="仿宋"/>
                <w:color w:val="auto"/>
                <w:highlight w:val="none"/>
              </w:rPr>
            </w:pPr>
          </w:p>
        </w:tc>
        <w:tc>
          <w:tcPr>
            <w:tcW w:w="1524" w:type="dxa"/>
            <w:vMerge w:val="continue"/>
            <w:vAlign w:val="center"/>
          </w:tcPr>
          <w:p w14:paraId="0B8F6F45">
            <w:pPr>
              <w:widowControl/>
              <w:spacing w:line="360" w:lineRule="exact"/>
              <w:rPr>
                <w:rFonts w:ascii="仿宋" w:hAnsi="仿宋" w:eastAsia="仿宋" w:cs="仿宋"/>
                <w:color w:val="auto"/>
                <w:highlight w:val="none"/>
              </w:rPr>
            </w:pPr>
          </w:p>
        </w:tc>
        <w:tc>
          <w:tcPr>
            <w:tcW w:w="6272" w:type="dxa"/>
            <w:vAlign w:val="center"/>
          </w:tcPr>
          <w:p w14:paraId="1F406061">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5）养护过程中应及时清理干净各类垃圾，保持整洁、卫生。应同时清除碎石和杂草，有影响排水的局部区域应及时处理。养护过程中需要的吊车、挖机、洒水车等设施设备费用由供应商负责，不再另行支付额外费用。因施肥、施药、除草、浇水不当导致苗木损失，由中标方承担赔偿责任。</w:t>
            </w:r>
          </w:p>
        </w:tc>
      </w:tr>
      <w:tr w14:paraId="15DB6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Align w:val="center"/>
          </w:tcPr>
          <w:p w14:paraId="6BAB51C3">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524" w:type="dxa"/>
            <w:vAlign w:val="center"/>
          </w:tcPr>
          <w:p w14:paraId="7CD53AAA">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养护标准</w:t>
            </w:r>
          </w:p>
        </w:tc>
        <w:tc>
          <w:tcPr>
            <w:tcW w:w="6272" w:type="dxa"/>
            <w:vAlign w:val="center"/>
          </w:tcPr>
          <w:p w14:paraId="78851C34">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参照《宿迁市园林绿化养护管理标准》中的二级绿化养护标准相关标准要求。</w:t>
            </w:r>
          </w:p>
        </w:tc>
      </w:tr>
    </w:tbl>
    <w:p w14:paraId="04B62C4E">
      <w:pPr>
        <w:pStyle w:val="11"/>
        <w:spacing w:before="0" w:after="0" w:line="5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3.3宿管服务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1424"/>
        <w:gridCol w:w="5930"/>
      </w:tblGrid>
      <w:tr w14:paraId="484B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4AC0CB16">
            <w:pPr>
              <w:widowControl/>
              <w:spacing w:line="360" w:lineRule="exact"/>
              <w:jc w:val="center"/>
              <w:rPr>
                <w:rFonts w:ascii="仿宋" w:hAnsi="仿宋" w:eastAsia="仿宋" w:cs="仿宋"/>
                <w:color w:val="auto"/>
                <w:highlight w:val="none"/>
              </w:rPr>
            </w:pPr>
            <w:r>
              <w:rPr>
                <w:rFonts w:hint="eastAsia" w:ascii="仿宋" w:hAnsi="仿宋" w:eastAsia="仿宋" w:cs="仿宋"/>
                <w:b/>
                <w:bCs/>
                <w:color w:val="auto"/>
                <w:highlight w:val="none"/>
              </w:rPr>
              <w:t>序号</w:t>
            </w:r>
          </w:p>
        </w:tc>
        <w:tc>
          <w:tcPr>
            <w:tcW w:w="1424" w:type="dxa"/>
            <w:vAlign w:val="center"/>
          </w:tcPr>
          <w:p w14:paraId="769B8740">
            <w:pPr>
              <w:widowControl/>
              <w:spacing w:line="360" w:lineRule="exact"/>
              <w:jc w:val="center"/>
              <w:rPr>
                <w:rFonts w:ascii="仿宋" w:hAnsi="仿宋" w:eastAsia="仿宋" w:cs="仿宋"/>
                <w:color w:val="auto"/>
                <w:highlight w:val="none"/>
              </w:rPr>
            </w:pPr>
            <w:r>
              <w:rPr>
                <w:rFonts w:hint="eastAsia" w:ascii="仿宋" w:hAnsi="仿宋" w:eastAsia="仿宋" w:cs="仿宋"/>
                <w:b/>
                <w:bCs/>
                <w:color w:val="auto"/>
                <w:highlight w:val="none"/>
              </w:rPr>
              <w:t>服务内容</w:t>
            </w:r>
          </w:p>
        </w:tc>
        <w:tc>
          <w:tcPr>
            <w:tcW w:w="5930" w:type="dxa"/>
            <w:vAlign w:val="center"/>
          </w:tcPr>
          <w:p w14:paraId="0CE553A0">
            <w:pPr>
              <w:widowControl/>
              <w:spacing w:line="360" w:lineRule="exact"/>
              <w:jc w:val="center"/>
              <w:rPr>
                <w:rFonts w:ascii="仿宋" w:hAnsi="仿宋" w:eastAsia="仿宋" w:cs="仿宋"/>
                <w:color w:val="auto"/>
                <w:highlight w:val="none"/>
              </w:rPr>
            </w:pPr>
            <w:r>
              <w:rPr>
                <w:rFonts w:hint="eastAsia" w:ascii="仿宋" w:hAnsi="仿宋" w:eastAsia="仿宋" w:cs="仿宋"/>
                <w:b/>
                <w:bCs/>
                <w:color w:val="auto"/>
                <w:highlight w:val="none"/>
              </w:rPr>
              <w:t>服务标准</w:t>
            </w:r>
          </w:p>
        </w:tc>
      </w:tr>
      <w:tr w14:paraId="4B56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1B072883">
            <w:pPr>
              <w:widowControl/>
              <w:spacing w:line="360" w:lineRule="exact"/>
              <w:ind w:firstLine="210"/>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424" w:type="dxa"/>
            <w:vAlign w:val="center"/>
          </w:tcPr>
          <w:p w14:paraId="48B30A1F">
            <w:pPr>
              <w:widowControl/>
              <w:spacing w:line="360" w:lineRule="exact"/>
              <w:ind w:firstLine="210"/>
              <w:jc w:val="center"/>
              <w:rPr>
                <w:rFonts w:ascii="仿宋" w:hAnsi="仿宋" w:eastAsia="仿宋" w:cs="仿宋"/>
                <w:color w:val="auto"/>
                <w:highlight w:val="none"/>
              </w:rPr>
            </w:pPr>
            <w:r>
              <w:rPr>
                <w:rFonts w:hint="eastAsia" w:ascii="仿宋" w:hAnsi="仿宋" w:eastAsia="仿宋" w:cs="仿宋"/>
                <w:color w:val="auto"/>
                <w:highlight w:val="none"/>
              </w:rPr>
              <w:t>基本要求</w:t>
            </w:r>
          </w:p>
        </w:tc>
        <w:tc>
          <w:tcPr>
            <w:tcW w:w="5930" w:type="dxa"/>
            <w:vAlign w:val="center"/>
          </w:tcPr>
          <w:p w14:paraId="6DAFB047">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1、宿管员要求有高度的事业心和爱心，关心爱护每一个学生，严禁体罚、变相体罚、侮辱学生，对于夜间突发疾病或意外的学生要第一时间送到医院救治并报告班主任、年级主任和学校值班校长。</w:t>
            </w:r>
          </w:p>
          <w:p w14:paraId="2EFE6D02">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2、按照学校有关宿舍管理的制度，做好住校学生的服务工作。</w:t>
            </w:r>
          </w:p>
          <w:p w14:paraId="3074FB4B">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夜间执勤管理规定，值班人员要实行24小时不间断执勤，每晚必须按时关楼门，关楼门后必须到各楼层检查有无违章用电、用火及宿舍无外来人员现象。晚自习结束，管理员要督促各宿舍舍长及时登记汇报各个宿舍学生到宿舍情况，宿管员必须对照床铺逐个核对，未在宿舍的要落实好去处，并与班主任、年级主任联系对接。</w:t>
            </w:r>
          </w:p>
          <w:p w14:paraId="634174BE">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4、人员进出管理规定</w:t>
            </w:r>
          </w:p>
          <w:p w14:paraId="32D7D074">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(1)外来人员必须到值班室登记，方可进入宿舍楼。</w:t>
            </w:r>
          </w:p>
          <w:p w14:paraId="0A343C62">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(2)做好门禁管理，配合学校对学生进出宿舍进行严格管理。</w:t>
            </w:r>
          </w:p>
          <w:p w14:paraId="4550D1B4">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5、宿舍公共区域保洁</w:t>
            </w:r>
          </w:p>
          <w:p w14:paraId="69B4045C">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（1）学生宿舍楼室内以外区域的墙面、地面、阳台、楼道、栏杆、扶手墙裙、拐角和宿舍楼之间公共区域及内外墙面地面的卫生清洁；</w:t>
            </w:r>
          </w:p>
          <w:p w14:paraId="28C762CD">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（2）服从学校管理做好学生宿舍的管理工作，如开锁门、水电及安全隐患检查等工作;负责空宿舍的整理、清扫、开锁门。</w:t>
            </w:r>
          </w:p>
        </w:tc>
      </w:tr>
    </w:tbl>
    <w:p w14:paraId="68F1E41C">
      <w:pPr>
        <w:pStyle w:val="11"/>
        <w:spacing w:before="0" w:after="0" w:line="5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3.4保洁服务</w:t>
      </w:r>
    </w:p>
    <w:tbl>
      <w:tblPr>
        <w:tblStyle w:val="6"/>
        <w:tblpPr w:leftFromText="180" w:rightFromText="180" w:vertAnchor="text" w:horzAnchor="page" w:tblpX="1669" w:tblpY="466"/>
        <w:tblW w:w="499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4"/>
        <w:gridCol w:w="1844"/>
        <w:gridCol w:w="6089"/>
      </w:tblGrid>
      <w:tr w14:paraId="4AA16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4" w:type="dxa"/>
            <w:vAlign w:val="center"/>
          </w:tcPr>
          <w:p w14:paraId="2508B62F">
            <w:pPr>
              <w:widowControl/>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1844" w:type="dxa"/>
            <w:vAlign w:val="center"/>
          </w:tcPr>
          <w:p w14:paraId="55282139">
            <w:pPr>
              <w:widowControl/>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服务内容</w:t>
            </w:r>
          </w:p>
        </w:tc>
        <w:tc>
          <w:tcPr>
            <w:tcW w:w="6089" w:type="dxa"/>
            <w:vAlign w:val="center"/>
          </w:tcPr>
          <w:p w14:paraId="383BB6BA">
            <w:pPr>
              <w:widowControl/>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服务标准</w:t>
            </w:r>
          </w:p>
        </w:tc>
      </w:tr>
      <w:tr w14:paraId="63069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restart"/>
            <w:vAlign w:val="center"/>
          </w:tcPr>
          <w:p w14:paraId="57DE4D1A">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844" w:type="dxa"/>
            <w:vMerge w:val="restart"/>
            <w:vAlign w:val="center"/>
          </w:tcPr>
          <w:p w14:paraId="7499312D">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基本要求</w:t>
            </w:r>
          </w:p>
        </w:tc>
        <w:tc>
          <w:tcPr>
            <w:tcW w:w="6089" w:type="dxa"/>
            <w:vAlign w:val="center"/>
          </w:tcPr>
          <w:p w14:paraId="7B0598FC">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（1）建立保洁服务的工作制度及工作计划，并按照执行。</w:t>
            </w:r>
          </w:p>
        </w:tc>
      </w:tr>
      <w:tr w14:paraId="4A836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4D782D72">
            <w:pPr>
              <w:widowControl/>
              <w:spacing w:line="360" w:lineRule="exact"/>
              <w:jc w:val="center"/>
              <w:rPr>
                <w:rFonts w:ascii="仿宋" w:hAnsi="仿宋" w:eastAsia="仿宋" w:cs="仿宋"/>
                <w:color w:val="auto"/>
                <w:highlight w:val="none"/>
              </w:rPr>
            </w:pPr>
          </w:p>
        </w:tc>
        <w:tc>
          <w:tcPr>
            <w:tcW w:w="1844" w:type="dxa"/>
            <w:vMerge w:val="continue"/>
            <w:vAlign w:val="center"/>
          </w:tcPr>
          <w:p w14:paraId="26957CF5">
            <w:pPr>
              <w:widowControl/>
              <w:spacing w:line="360" w:lineRule="exact"/>
              <w:rPr>
                <w:rFonts w:ascii="仿宋" w:hAnsi="仿宋" w:eastAsia="仿宋" w:cs="仿宋"/>
                <w:color w:val="auto"/>
                <w:highlight w:val="none"/>
              </w:rPr>
            </w:pPr>
          </w:p>
        </w:tc>
        <w:tc>
          <w:tcPr>
            <w:tcW w:w="6089" w:type="dxa"/>
            <w:vAlign w:val="center"/>
          </w:tcPr>
          <w:p w14:paraId="08A1B1ED">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（2）做好保洁服务工作记录，记录填写规范、保存完好。</w:t>
            </w:r>
          </w:p>
        </w:tc>
      </w:tr>
      <w:tr w14:paraId="7FBAD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175A2F37">
            <w:pPr>
              <w:widowControl/>
              <w:spacing w:line="360" w:lineRule="exact"/>
              <w:jc w:val="center"/>
              <w:rPr>
                <w:rFonts w:ascii="仿宋" w:hAnsi="仿宋" w:eastAsia="仿宋" w:cs="仿宋"/>
                <w:color w:val="auto"/>
                <w:highlight w:val="none"/>
              </w:rPr>
            </w:pPr>
          </w:p>
        </w:tc>
        <w:tc>
          <w:tcPr>
            <w:tcW w:w="1844" w:type="dxa"/>
            <w:vMerge w:val="continue"/>
            <w:vAlign w:val="center"/>
          </w:tcPr>
          <w:p w14:paraId="1523853D">
            <w:pPr>
              <w:widowControl/>
              <w:spacing w:line="360" w:lineRule="exact"/>
              <w:rPr>
                <w:rFonts w:ascii="仿宋" w:hAnsi="仿宋" w:eastAsia="仿宋" w:cs="仿宋"/>
                <w:color w:val="auto"/>
                <w:highlight w:val="none"/>
              </w:rPr>
            </w:pPr>
          </w:p>
        </w:tc>
        <w:tc>
          <w:tcPr>
            <w:tcW w:w="6089" w:type="dxa"/>
            <w:vAlign w:val="center"/>
          </w:tcPr>
          <w:p w14:paraId="5DF12746">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（3）作业时采取安全防护措施，防止对作业人员或他人造成伤害。相关耗材的环保、安全性等应当符合国家相关规定要求。</w:t>
            </w:r>
          </w:p>
        </w:tc>
      </w:tr>
      <w:tr w14:paraId="5C049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07" w:hRule="atLeast"/>
        </w:trPr>
        <w:tc>
          <w:tcPr>
            <w:tcW w:w="574" w:type="dxa"/>
            <w:vMerge w:val="restart"/>
            <w:vAlign w:val="center"/>
          </w:tcPr>
          <w:p w14:paraId="35933D0C">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844" w:type="dxa"/>
            <w:vMerge w:val="restart"/>
            <w:vAlign w:val="center"/>
          </w:tcPr>
          <w:p w14:paraId="6A71DDA2">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办公、教学区域保洁</w:t>
            </w:r>
          </w:p>
        </w:tc>
        <w:tc>
          <w:tcPr>
            <w:tcW w:w="6089" w:type="dxa"/>
            <w:vAlign w:val="center"/>
          </w:tcPr>
          <w:p w14:paraId="3513C26E">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（1）大厅、楼内公共通道：</w:t>
            </w:r>
          </w:p>
          <w:p w14:paraId="15BAF2F9">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①公共通道保持干净，无异味、无杂物、无积水，每日至少开展2次清洁作业。</w:t>
            </w:r>
          </w:p>
          <w:p w14:paraId="50A36BF4">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②门窗玻璃干净无尘，透光性好，每周至少开展1次清洁作业。</w:t>
            </w:r>
          </w:p>
          <w:p w14:paraId="7646ED37">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③指示牌、公告栏干净，无污渍，每周至少开展1次清洁作业。</w:t>
            </w:r>
          </w:p>
        </w:tc>
      </w:tr>
      <w:tr w14:paraId="688BF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5" w:hRule="atLeast"/>
        </w:trPr>
        <w:tc>
          <w:tcPr>
            <w:tcW w:w="574" w:type="dxa"/>
            <w:vMerge w:val="continue"/>
            <w:vAlign w:val="center"/>
          </w:tcPr>
          <w:p w14:paraId="6234D658">
            <w:pPr>
              <w:widowControl/>
              <w:spacing w:line="360" w:lineRule="exact"/>
              <w:jc w:val="center"/>
              <w:rPr>
                <w:rFonts w:ascii="仿宋" w:hAnsi="仿宋" w:eastAsia="仿宋" w:cs="仿宋"/>
                <w:color w:val="auto"/>
                <w:highlight w:val="none"/>
              </w:rPr>
            </w:pPr>
          </w:p>
        </w:tc>
        <w:tc>
          <w:tcPr>
            <w:tcW w:w="1844" w:type="dxa"/>
            <w:vMerge w:val="continue"/>
            <w:vAlign w:val="center"/>
          </w:tcPr>
          <w:p w14:paraId="236EFA01">
            <w:pPr>
              <w:widowControl/>
              <w:spacing w:line="360" w:lineRule="exact"/>
              <w:rPr>
                <w:rFonts w:ascii="仿宋" w:hAnsi="仿宋" w:eastAsia="仿宋" w:cs="仿宋"/>
                <w:color w:val="auto"/>
                <w:highlight w:val="none"/>
              </w:rPr>
            </w:pPr>
          </w:p>
        </w:tc>
        <w:tc>
          <w:tcPr>
            <w:tcW w:w="6089" w:type="dxa"/>
            <w:vAlign w:val="center"/>
          </w:tcPr>
          <w:p w14:paraId="2FEB29BB">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（2）电器、消防等设施设备：</w:t>
            </w:r>
          </w:p>
          <w:p w14:paraId="00B91CFD">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①配电箱、设备机房、会议室音视频设备、消防栓及开关插座等保持表面干净，无尘无污迹，每月至少开展1次清洁作业。</w:t>
            </w:r>
          </w:p>
          <w:p w14:paraId="56DE1ECF">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②监控摄像头、门禁系统等表面光亮，无尘、无斑点，每月至少开展1次清洁作业。</w:t>
            </w:r>
          </w:p>
          <w:p w14:paraId="6813C326">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③直饮机，每日至少开展2次清洁作业，确保周边干净整洁无积水。</w:t>
            </w:r>
          </w:p>
        </w:tc>
      </w:tr>
      <w:tr w14:paraId="598EE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0B820E8E">
            <w:pPr>
              <w:widowControl/>
              <w:spacing w:line="360" w:lineRule="exact"/>
              <w:jc w:val="center"/>
              <w:rPr>
                <w:rFonts w:ascii="仿宋" w:hAnsi="仿宋" w:eastAsia="仿宋" w:cs="仿宋"/>
                <w:color w:val="auto"/>
                <w:highlight w:val="none"/>
              </w:rPr>
            </w:pPr>
          </w:p>
        </w:tc>
        <w:tc>
          <w:tcPr>
            <w:tcW w:w="1844" w:type="dxa"/>
            <w:vMerge w:val="continue"/>
            <w:vAlign w:val="center"/>
          </w:tcPr>
          <w:p w14:paraId="3BF47283">
            <w:pPr>
              <w:widowControl/>
              <w:spacing w:line="360" w:lineRule="exact"/>
              <w:rPr>
                <w:rFonts w:ascii="仿宋" w:hAnsi="仿宋" w:eastAsia="仿宋" w:cs="仿宋"/>
                <w:color w:val="auto"/>
                <w:highlight w:val="none"/>
              </w:rPr>
            </w:pPr>
          </w:p>
        </w:tc>
        <w:tc>
          <w:tcPr>
            <w:tcW w:w="6089" w:type="dxa"/>
            <w:vAlign w:val="center"/>
          </w:tcPr>
          <w:p w14:paraId="61297DC1">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（3）楼梯、扶手、楼梯间保持干净、无异味、无杂物、无积水，每日至少开展2次清洁作业。各楼梯间墙面、天花板每周除尘1次。</w:t>
            </w:r>
          </w:p>
        </w:tc>
      </w:tr>
      <w:tr w14:paraId="1C858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66E9A721">
            <w:pPr>
              <w:widowControl/>
              <w:spacing w:line="360" w:lineRule="exact"/>
              <w:jc w:val="center"/>
              <w:rPr>
                <w:rFonts w:ascii="仿宋" w:hAnsi="仿宋" w:eastAsia="仿宋" w:cs="仿宋"/>
                <w:color w:val="auto"/>
                <w:highlight w:val="none"/>
              </w:rPr>
            </w:pPr>
          </w:p>
        </w:tc>
        <w:tc>
          <w:tcPr>
            <w:tcW w:w="1844" w:type="dxa"/>
            <w:vMerge w:val="continue"/>
            <w:vAlign w:val="center"/>
          </w:tcPr>
          <w:p w14:paraId="10E8D1B9">
            <w:pPr>
              <w:widowControl/>
              <w:spacing w:line="360" w:lineRule="exact"/>
              <w:rPr>
                <w:rFonts w:ascii="仿宋" w:hAnsi="仿宋" w:eastAsia="仿宋" w:cs="仿宋"/>
                <w:color w:val="auto"/>
                <w:highlight w:val="none"/>
              </w:rPr>
            </w:pPr>
          </w:p>
        </w:tc>
        <w:tc>
          <w:tcPr>
            <w:tcW w:w="6089" w:type="dxa"/>
            <w:vAlign w:val="center"/>
          </w:tcPr>
          <w:p w14:paraId="3D724158">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（4）工具间：</w:t>
            </w:r>
          </w:p>
          <w:p w14:paraId="26B55057">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①保持干净，无异味、无杂物、无积水，每日至少开展1次全面清洁作业。</w:t>
            </w:r>
          </w:p>
          <w:p w14:paraId="1632B022">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②作业工具摆放整齐有序，表面干净无渍，每日消毒。</w:t>
            </w:r>
          </w:p>
        </w:tc>
      </w:tr>
      <w:tr w14:paraId="502DA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5" w:hRule="atLeast"/>
        </w:trPr>
        <w:tc>
          <w:tcPr>
            <w:tcW w:w="574" w:type="dxa"/>
            <w:vMerge w:val="continue"/>
            <w:vAlign w:val="center"/>
          </w:tcPr>
          <w:p w14:paraId="5F41B308">
            <w:pPr>
              <w:widowControl/>
              <w:spacing w:line="360" w:lineRule="exact"/>
              <w:jc w:val="center"/>
              <w:rPr>
                <w:rFonts w:ascii="仿宋" w:hAnsi="仿宋" w:eastAsia="仿宋" w:cs="仿宋"/>
                <w:color w:val="auto"/>
                <w:highlight w:val="none"/>
              </w:rPr>
            </w:pPr>
          </w:p>
        </w:tc>
        <w:tc>
          <w:tcPr>
            <w:tcW w:w="1844" w:type="dxa"/>
            <w:vMerge w:val="continue"/>
            <w:vAlign w:val="center"/>
          </w:tcPr>
          <w:p w14:paraId="6EB294E6">
            <w:pPr>
              <w:widowControl/>
              <w:spacing w:line="360" w:lineRule="exact"/>
              <w:rPr>
                <w:rFonts w:ascii="仿宋" w:hAnsi="仿宋" w:eastAsia="仿宋" w:cs="仿宋"/>
                <w:color w:val="auto"/>
                <w:highlight w:val="none"/>
              </w:rPr>
            </w:pPr>
          </w:p>
        </w:tc>
        <w:tc>
          <w:tcPr>
            <w:tcW w:w="6089" w:type="dxa"/>
            <w:vAlign w:val="center"/>
          </w:tcPr>
          <w:p w14:paraId="1EF88AD5">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（5）公共卫生间：</w:t>
            </w:r>
          </w:p>
          <w:p w14:paraId="18168BE1">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①保持干净，无异味，垃圾无溢出，每日至少开展1次全面清洁和消毒作业，工作期间保持不间断巡视，至少每小时巡视一次。</w:t>
            </w:r>
          </w:p>
          <w:p w14:paraId="5A3ABAB5">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②每日两次收垃圾，更换垃圾袋。</w:t>
            </w:r>
          </w:p>
        </w:tc>
      </w:tr>
      <w:tr w14:paraId="723F5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18A66BE1">
            <w:pPr>
              <w:widowControl/>
              <w:spacing w:line="360" w:lineRule="exact"/>
              <w:jc w:val="center"/>
              <w:rPr>
                <w:rFonts w:ascii="仿宋" w:hAnsi="仿宋" w:eastAsia="仿宋" w:cs="仿宋"/>
                <w:color w:val="auto"/>
                <w:highlight w:val="none"/>
              </w:rPr>
            </w:pPr>
          </w:p>
        </w:tc>
        <w:tc>
          <w:tcPr>
            <w:tcW w:w="1844" w:type="dxa"/>
            <w:vMerge w:val="continue"/>
            <w:vAlign w:val="center"/>
          </w:tcPr>
          <w:p w14:paraId="619F0AFE">
            <w:pPr>
              <w:widowControl/>
              <w:spacing w:line="360" w:lineRule="exact"/>
              <w:rPr>
                <w:rFonts w:ascii="仿宋" w:hAnsi="仿宋" w:eastAsia="仿宋" w:cs="仿宋"/>
                <w:color w:val="auto"/>
                <w:highlight w:val="none"/>
              </w:rPr>
            </w:pPr>
          </w:p>
        </w:tc>
        <w:tc>
          <w:tcPr>
            <w:tcW w:w="6089" w:type="dxa"/>
            <w:vAlign w:val="center"/>
          </w:tcPr>
          <w:p w14:paraId="5A26AED4">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（6）平台、屋顶、天沟保持干净，有杂物及时清扫，每月至少开展1次清洁作业。</w:t>
            </w:r>
          </w:p>
        </w:tc>
      </w:tr>
      <w:tr w14:paraId="2D322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1341112D">
            <w:pPr>
              <w:widowControl/>
              <w:spacing w:line="360" w:lineRule="exact"/>
              <w:jc w:val="center"/>
              <w:rPr>
                <w:rFonts w:ascii="仿宋" w:hAnsi="仿宋" w:eastAsia="仿宋" w:cs="仿宋"/>
                <w:color w:val="auto"/>
                <w:highlight w:val="none"/>
              </w:rPr>
            </w:pPr>
          </w:p>
        </w:tc>
        <w:tc>
          <w:tcPr>
            <w:tcW w:w="1844" w:type="dxa"/>
            <w:vMerge w:val="continue"/>
            <w:vAlign w:val="center"/>
          </w:tcPr>
          <w:p w14:paraId="0410F814">
            <w:pPr>
              <w:widowControl/>
              <w:spacing w:line="360" w:lineRule="exact"/>
              <w:rPr>
                <w:rFonts w:ascii="仿宋" w:hAnsi="仿宋" w:eastAsia="仿宋" w:cs="仿宋"/>
                <w:color w:val="auto"/>
                <w:highlight w:val="none"/>
              </w:rPr>
            </w:pPr>
          </w:p>
        </w:tc>
        <w:tc>
          <w:tcPr>
            <w:tcW w:w="6089" w:type="dxa"/>
            <w:vAlign w:val="center"/>
          </w:tcPr>
          <w:p w14:paraId="65855321">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（7）石材地面、内墙做好养护工作，每季度开展1次清洁作业。</w:t>
            </w:r>
          </w:p>
        </w:tc>
      </w:tr>
      <w:tr w14:paraId="664AA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574" w:type="dxa"/>
            <w:vMerge w:val="continue"/>
            <w:vAlign w:val="center"/>
          </w:tcPr>
          <w:p w14:paraId="77ADEA91">
            <w:pPr>
              <w:widowControl/>
              <w:spacing w:line="360" w:lineRule="exact"/>
              <w:jc w:val="center"/>
              <w:rPr>
                <w:rFonts w:ascii="仿宋" w:hAnsi="仿宋" w:eastAsia="仿宋" w:cs="仿宋"/>
                <w:color w:val="auto"/>
                <w:highlight w:val="none"/>
              </w:rPr>
            </w:pPr>
          </w:p>
        </w:tc>
        <w:tc>
          <w:tcPr>
            <w:tcW w:w="1844" w:type="dxa"/>
            <w:vMerge w:val="continue"/>
            <w:vAlign w:val="center"/>
          </w:tcPr>
          <w:p w14:paraId="21FCF447">
            <w:pPr>
              <w:widowControl/>
              <w:spacing w:line="360" w:lineRule="exact"/>
              <w:rPr>
                <w:rFonts w:ascii="仿宋" w:hAnsi="仿宋" w:eastAsia="仿宋" w:cs="仿宋"/>
                <w:color w:val="auto"/>
                <w:highlight w:val="none"/>
              </w:rPr>
            </w:pPr>
          </w:p>
        </w:tc>
        <w:tc>
          <w:tcPr>
            <w:tcW w:w="6089" w:type="dxa"/>
            <w:vAlign w:val="center"/>
          </w:tcPr>
          <w:p w14:paraId="53D4D9C7">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（8）学校有重大活动时，无论是否为工作日，中标单位要无条件配合学校做好相关保洁工作，确保学校完成相关活动。</w:t>
            </w:r>
          </w:p>
        </w:tc>
      </w:tr>
      <w:tr w14:paraId="4C2ED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8" w:hRule="atLeast"/>
        </w:trPr>
        <w:tc>
          <w:tcPr>
            <w:tcW w:w="574" w:type="dxa"/>
            <w:vMerge w:val="continue"/>
            <w:vAlign w:val="center"/>
          </w:tcPr>
          <w:p w14:paraId="05D7702A">
            <w:pPr>
              <w:widowControl/>
              <w:spacing w:line="360" w:lineRule="exact"/>
              <w:jc w:val="center"/>
              <w:rPr>
                <w:rFonts w:ascii="仿宋" w:hAnsi="仿宋" w:eastAsia="仿宋" w:cs="仿宋"/>
                <w:color w:val="auto"/>
                <w:highlight w:val="none"/>
              </w:rPr>
            </w:pPr>
          </w:p>
        </w:tc>
        <w:tc>
          <w:tcPr>
            <w:tcW w:w="1844" w:type="dxa"/>
            <w:vMerge w:val="continue"/>
            <w:vAlign w:val="center"/>
          </w:tcPr>
          <w:p w14:paraId="6C8C7ED1">
            <w:pPr>
              <w:widowControl/>
              <w:spacing w:line="360" w:lineRule="exact"/>
              <w:rPr>
                <w:rFonts w:ascii="仿宋" w:hAnsi="仿宋" w:eastAsia="仿宋" w:cs="仿宋"/>
                <w:color w:val="auto"/>
                <w:highlight w:val="none"/>
              </w:rPr>
            </w:pPr>
          </w:p>
        </w:tc>
        <w:tc>
          <w:tcPr>
            <w:tcW w:w="6089" w:type="dxa"/>
            <w:vAlign w:val="center"/>
          </w:tcPr>
          <w:p w14:paraId="1231E69E">
            <w:pPr>
              <w:spacing w:line="360" w:lineRule="exact"/>
              <w:ind w:firstLine="191"/>
              <w:rPr>
                <w:rFonts w:ascii="仿宋" w:hAnsi="仿宋" w:eastAsia="仿宋" w:cs="仿宋"/>
                <w:color w:val="auto"/>
                <w:highlight w:val="none"/>
              </w:rPr>
            </w:pPr>
            <w:r>
              <w:rPr>
                <w:rFonts w:hint="eastAsia" w:ascii="仿宋" w:hAnsi="仿宋" w:eastAsia="仿宋" w:cs="仿宋"/>
                <w:color w:val="auto"/>
                <w:highlight w:val="none"/>
              </w:rPr>
              <w:t>（9）会议室、报告厅要定期清洁、巡视和消毒，保证会场清洁整齐；</w:t>
            </w:r>
          </w:p>
        </w:tc>
      </w:tr>
      <w:tr w14:paraId="7EB97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8" w:hRule="atLeast"/>
        </w:trPr>
        <w:tc>
          <w:tcPr>
            <w:tcW w:w="574" w:type="dxa"/>
            <w:vMerge w:val="continue"/>
            <w:vAlign w:val="center"/>
          </w:tcPr>
          <w:p w14:paraId="14E601FB">
            <w:pPr>
              <w:widowControl/>
              <w:spacing w:line="360" w:lineRule="exact"/>
              <w:jc w:val="center"/>
              <w:rPr>
                <w:rFonts w:ascii="仿宋" w:hAnsi="仿宋" w:eastAsia="仿宋" w:cs="仿宋"/>
                <w:color w:val="auto"/>
                <w:highlight w:val="none"/>
              </w:rPr>
            </w:pPr>
          </w:p>
        </w:tc>
        <w:tc>
          <w:tcPr>
            <w:tcW w:w="1844" w:type="dxa"/>
            <w:vMerge w:val="continue"/>
            <w:vAlign w:val="center"/>
          </w:tcPr>
          <w:p w14:paraId="52F18321">
            <w:pPr>
              <w:widowControl/>
              <w:spacing w:line="360" w:lineRule="exact"/>
              <w:rPr>
                <w:rFonts w:ascii="仿宋" w:hAnsi="仿宋" w:eastAsia="仿宋" w:cs="仿宋"/>
                <w:color w:val="auto"/>
                <w:highlight w:val="none"/>
              </w:rPr>
            </w:pPr>
          </w:p>
        </w:tc>
        <w:tc>
          <w:tcPr>
            <w:tcW w:w="6089" w:type="dxa"/>
            <w:vAlign w:val="center"/>
          </w:tcPr>
          <w:p w14:paraId="5A2DC19A">
            <w:pPr>
              <w:widowControl/>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（10）要提前做好各类考试期间保洁工作，按照要求随时做好清洁服务，考试期间厕所做好通风点香工作，温暖季节确保做好灭蝇防鼠工作</w:t>
            </w:r>
          </w:p>
        </w:tc>
      </w:tr>
      <w:tr w14:paraId="66FA1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restart"/>
            <w:vAlign w:val="center"/>
          </w:tcPr>
          <w:p w14:paraId="34D0EAA6">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1844" w:type="dxa"/>
            <w:vMerge w:val="restart"/>
            <w:vAlign w:val="center"/>
          </w:tcPr>
          <w:p w14:paraId="6A840458">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公共场地区域保洁</w:t>
            </w:r>
          </w:p>
        </w:tc>
        <w:tc>
          <w:tcPr>
            <w:tcW w:w="6089" w:type="dxa"/>
            <w:vAlign w:val="center"/>
          </w:tcPr>
          <w:p w14:paraId="435796F6">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每日清扫道路地面、操场、广场等公共区域至少2次，保持干净、无杂物、无积水。地下车库每周清理一次。按学校要求定期对校内图书馆、科技馆、报告厅、室内体育馆等室内大面积公共场所进行集中清理。</w:t>
            </w:r>
          </w:p>
        </w:tc>
      </w:tr>
      <w:tr w14:paraId="50CB1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7C854627">
            <w:pPr>
              <w:widowControl/>
              <w:spacing w:line="360" w:lineRule="exact"/>
              <w:jc w:val="center"/>
              <w:rPr>
                <w:rFonts w:ascii="仿宋" w:hAnsi="仿宋" w:eastAsia="仿宋" w:cs="仿宋"/>
                <w:color w:val="auto"/>
                <w:highlight w:val="none"/>
              </w:rPr>
            </w:pPr>
          </w:p>
        </w:tc>
        <w:tc>
          <w:tcPr>
            <w:tcW w:w="1844" w:type="dxa"/>
            <w:vMerge w:val="continue"/>
            <w:vAlign w:val="center"/>
          </w:tcPr>
          <w:p w14:paraId="111B925F">
            <w:pPr>
              <w:widowControl/>
              <w:spacing w:line="360" w:lineRule="exact"/>
              <w:rPr>
                <w:rFonts w:ascii="仿宋" w:hAnsi="仿宋" w:eastAsia="仿宋" w:cs="仿宋"/>
                <w:color w:val="auto"/>
                <w:highlight w:val="none"/>
              </w:rPr>
            </w:pPr>
          </w:p>
        </w:tc>
        <w:tc>
          <w:tcPr>
            <w:tcW w:w="6089" w:type="dxa"/>
            <w:vAlign w:val="center"/>
          </w:tcPr>
          <w:p w14:paraId="6C0D0E3D">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（2）雪、冰冻等恶劣天气时及时清扫积水、积雪，并采取安全防护措施。</w:t>
            </w:r>
          </w:p>
        </w:tc>
      </w:tr>
      <w:tr w14:paraId="5CF85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20D8E7D6">
            <w:pPr>
              <w:widowControl/>
              <w:spacing w:line="360" w:lineRule="exact"/>
              <w:jc w:val="center"/>
              <w:rPr>
                <w:rFonts w:ascii="仿宋" w:hAnsi="仿宋" w:eastAsia="仿宋" w:cs="仿宋"/>
                <w:color w:val="auto"/>
                <w:highlight w:val="none"/>
              </w:rPr>
            </w:pPr>
          </w:p>
        </w:tc>
        <w:tc>
          <w:tcPr>
            <w:tcW w:w="1844" w:type="dxa"/>
            <w:vMerge w:val="continue"/>
            <w:vAlign w:val="center"/>
          </w:tcPr>
          <w:p w14:paraId="4AB948D0">
            <w:pPr>
              <w:widowControl/>
              <w:spacing w:line="360" w:lineRule="exact"/>
              <w:rPr>
                <w:rFonts w:ascii="仿宋" w:hAnsi="仿宋" w:eastAsia="仿宋" w:cs="仿宋"/>
                <w:color w:val="auto"/>
                <w:highlight w:val="none"/>
              </w:rPr>
            </w:pPr>
          </w:p>
        </w:tc>
        <w:tc>
          <w:tcPr>
            <w:tcW w:w="6089" w:type="dxa"/>
            <w:vAlign w:val="center"/>
          </w:tcPr>
          <w:p w14:paraId="3782632D">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（3）各种路标、宣传栏等保持干净，每周至少开展1次清洁作业。</w:t>
            </w:r>
          </w:p>
        </w:tc>
      </w:tr>
      <w:tr w14:paraId="400A2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446DBE3F">
            <w:pPr>
              <w:widowControl/>
              <w:spacing w:line="360" w:lineRule="exact"/>
              <w:jc w:val="center"/>
              <w:rPr>
                <w:rFonts w:ascii="仿宋" w:hAnsi="仿宋" w:eastAsia="仿宋" w:cs="仿宋"/>
                <w:color w:val="auto"/>
                <w:highlight w:val="none"/>
              </w:rPr>
            </w:pPr>
          </w:p>
        </w:tc>
        <w:tc>
          <w:tcPr>
            <w:tcW w:w="1844" w:type="dxa"/>
            <w:vMerge w:val="continue"/>
            <w:vAlign w:val="center"/>
          </w:tcPr>
          <w:p w14:paraId="2F5E2AA7">
            <w:pPr>
              <w:widowControl/>
              <w:spacing w:line="360" w:lineRule="exact"/>
              <w:rPr>
                <w:rFonts w:ascii="仿宋" w:hAnsi="仿宋" w:eastAsia="仿宋" w:cs="仿宋"/>
                <w:color w:val="auto"/>
                <w:highlight w:val="none"/>
              </w:rPr>
            </w:pPr>
          </w:p>
        </w:tc>
        <w:tc>
          <w:tcPr>
            <w:tcW w:w="6089" w:type="dxa"/>
            <w:vAlign w:val="center"/>
          </w:tcPr>
          <w:p w14:paraId="0578F7B4">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（4）清洁室外照明设备，每月至少开展1次清洁作业。</w:t>
            </w:r>
          </w:p>
        </w:tc>
      </w:tr>
      <w:tr w14:paraId="52655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545AABFA">
            <w:pPr>
              <w:widowControl/>
              <w:spacing w:line="360" w:lineRule="exact"/>
              <w:jc w:val="center"/>
              <w:rPr>
                <w:rFonts w:ascii="仿宋" w:hAnsi="仿宋" w:eastAsia="仿宋" w:cs="仿宋"/>
                <w:color w:val="auto"/>
                <w:highlight w:val="none"/>
              </w:rPr>
            </w:pPr>
          </w:p>
        </w:tc>
        <w:tc>
          <w:tcPr>
            <w:tcW w:w="1844" w:type="dxa"/>
            <w:vMerge w:val="continue"/>
            <w:vAlign w:val="center"/>
          </w:tcPr>
          <w:p w14:paraId="24421DAF">
            <w:pPr>
              <w:widowControl/>
              <w:spacing w:line="360" w:lineRule="exact"/>
              <w:rPr>
                <w:rFonts w:ascii="仿宋" w:hAnsi="仿宋" w:eastAsia="仿宋" w:cs="仿宋"/>
                <w:color w:val="auto"/>
                <w:highlight w:val="none"/>
              </w:rPr>
            </w:pPr>
          </w:p>
        </w:tc>
        <w:tc>
          <w:tcPr>
            <w:tcW w:w="6089" w:type="dxa"/>
            <w:vAlign w:val="center"/>
          </w:tcPr>
          <w:p w14:paraId="464623BA">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（5）绿地内无杂物、无改变用途和破坏、践踏、占用现象，每天至少开展1次巡查。</w:t>
            </w:r>
          </w:p>
        </w:tc>
      </w:tr>
      <w:tr w14:paraId="5B844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restart"/>
            <w:vAlign w:val="center"/>
          </w:tcPr>
          <w:p w14:paraId="7DBA01A1">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844" w:type="dxa"/>
            <w:vMerge w:val="restart"/>
            <w:vAlign w:val="center"/>
          </w:tcPr>
          <w:p w14:paraId="13A8AED3">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垃圾处理</w:t>
            </w:r>
          </w:p>
        </w:tc>
        <w:tc>
          <w:tcPr>
            <w:tcW w:w="6089" w:type="dxa"/>
            <w:vAlign w:val="center"/>
          </w:tcPr>
          <w:p w14:paraId="14AA083A">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（1）桶身表面干净无污渍，每日开展至少1次清洁作业。</w:t>
            </w:r>
          </w:p>
        </w:tc>
      </w:tr>
      <w:tr w14:paraId="032F4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3EC0CEC8">
            <w:pPr>
              <w:widowControl/>
              <w:spacing w:line="360" w:lineRule="exact"/>
              <w:jc w:val="center"/>
              <w:rPr>
                <w:rFonts w:ascii="仿宋" w:hAnsi="仿宋" w:eastAsia="仿宋" w:cs="仿宋"/>
                <w:color w:val="auto"/>
                <w:highlight w:val="none"/>
              </w:rPr>
            </w:pPr>
          </w:p>
        </w:tc>
        <w:tc>
          <w:tcPr>
            <w:tcW w:w="1844" w:type="dxa"/>
            <w:vMerge w:val="continue"/>
            <w:vAlign w:val="center"/>
          </w:tcPr>
          <w:p w14:paraId="733360CF">
            <w:pPr>
              <w:widowControl/>
              <w:spacing w:line="360" w:lineRule="exact"/>
              <w:rPr>
                <w:rFonts w:ascii="仿宋" w:hAnsi="仿宋" w:eastAsia="仿宋" w:cs="仿宋"/>
                <w:color w:val="auto"/>
                <w:highlight w:val="none"/>
              </w:rPr>
            </w:pPr>
          </w:p>
        </w:tc>
        <w:tc>
          <w:tcPr>
            <w:tcW w:w="6089" w:type="dxa"/>
            <w:vAlign w:val="center"/>
          </w:tcPr>
          <w:p w14:paraId="0721A135">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（2）垃圾分类房保持整洁，无明显异味，每日至少开展1次清洁作业。</w:t>
            </w:r>
          </w:p>
        </w:tc>
      </w:tr>
      <w:tr w14:paraId="38133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2D277667">
            <w:pPr>
              <w:widowControl/>
              <w:spacing w:line="360" w:lineRule="exact"/>
              <w:jc w:val="center"/>
              <w:rPr>
                <w:rFonts w:ascii="仿宋" w:hAnsi="仿宋" w:eastAsia="仿宋" w:cs="仿宋"/>
                <w:color w:val="auto"/>
                <w:highlight w:val="none"/>
              </w:rPr>
            </w:pPr>
          </w:p>
        </w:tc>
        <w:tc>
          <w:tcPr>
            <w:tcW w:w="1844" w:type="dxa"/>
            <w:vMerge w:val="continue"/>
            <w:vAlign w:val="center"/>
          </w:tcPr>
          <w:p w14:paraId="65B68CCD">
            <w:pPr>
              <w:widowControl/>
              <w:spacing w:line="360" w:lineRule="exact"/>
              <w:rPr>
                <w:rFonts w:ascii="仿宋" w:hAnsi="仿宋" w:eastAsia="仿宋" w:cs="仿宋"/>
                <w:color w:val="auto"/>
                <w:highlight w:val="none"/>
              </w:rPr>
            </w:pPr>
          </w:p>
        </w:tc>
        <w:tc>
          <w:tcPr>
            <w:tcW w:w="6089" w:type="dxa"/>
            <w:vAlign w:val="center"/>
          </w:tcPr>
          <w:p w14:paraId="7FCF66A7">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（3）垃圾装袋，日产日清。</w:t>
            </w:r>
          </w:p>
        </w:tc>
      </w:tr>
      <w:tr w14:paraId="0811F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6BBEB150">
            <w:pPr>
              <w:widowControl/>
              <w:spacing w:line="360" w:lineRule="exact"/>
              <w:jc w:val="center"/>
              <w:rPr>
                <w:rFonts w:ascii="仿宋" w:hAnsi="仿宋" w:eastAsia="仿宋" w:cs="仿宋"/>
                <w:color w:val="auto"/>
                <w:highlight w:val="none"/>
              </w:rPr>
            </w:pPr>
          </w:p>
        </w:tc>
        <w:tc>
          <w:tcPr>
            <w:tcW w:w="1844" w:type="dxa"/>
            <w:vMerge w:val="continue"/>
            <w:vAlign w:val="center"/>
          </w:tcPr>
          <w:p w14:paraId="254C49FF">
            <w:pPr>
              <w:widowControl/>
              <w:spacing w:line="360" w:lineRule="exact"/>
              <w:rPr>
                <w:rFonts w:ascii="仿宋" w:hAnsi="仿宋" w:eastAsia="仿宋" w:cs="仿宋"/>
                <w:color w:val="auto"/>
                <w:highlight w:val="none"/>
              </w:rPr>
            </w:pPr>
          </w:p>
        </w:tc>
        <w:tc>
          <w:tcPr>
            <w:tcW w:w="6089" w:type="dxa"/>
            <w:vAlign w:val="center"/>
          </w:tcPr>
          <w:p w14:paraId="09EE795B">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（4）每个工作日内要对楼层产生的垃圾，进行清理分类，并运至垃圾集中堆放点，并保持周边环境干净整洁。</w:t>
            </w:r>
          </w:p>
        </w:tc>
      </w:tr>
      <w:tr w14:paraId="2CF0A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7" w:hRule="atLeast"/>
        </w:trPr>
        <w:tc>
          <w:tcPr>
            <w:tcW w:w="574" w:type="dxa"/>
            <w:vMerge w:val="continue"/>
            <w:vAlign w:val="center"/>
          </w:tcPr>
          <w:p w14:paraId="3EE63E55">
            <w:pPr>
              <w:widowControl/>
              <w:spacing w:line="360" w:lineRule="exact"/>
              <w:jc w:val="center"/>
              <w:rPr>
                <w:rFonts w:ascii="仿宋" w:hAnsi="仿宋" w:eastAsia="仿宋" w:cs="仿宋"/>
                <w:color w:val="auto"/>
                <w:highlight w:val="none"/>
              </w:rPr>
            </w:pPr>
          </w:p>
        </w:tc>
        <w:tc>
          <w:tcPr>
            <w:tcW w:w="1844" w:type="dxa"/>
            <w:vMerge w:val="continue"/>
            <w:vAlign w:val="center"/>
          </w:tcPr>
          <w:p w14:paraId="1D4F04B3">
            <w:pPr>
              <w:widowControl/>
              <w:spacing w:line="360" w:lineRule="exact"/>
              <w:rPr>
                <w:rFonts w:ascii="仿宋" w:hAnsi="仿宋" w:eastAsia="仿宋" w:cs="仿宋"/>
                <w:color w:val="auto"/>
                <w:highlight w:val="none"/>
              </w:rPr>
            </w:pPr>
          </w:p>
        </w:tc>
        <w:tc>
          <w:tcPr>
            <w:tcW w:w="6089" w:type="dxa"/>
            <w:vAlign w:val="center"/>
          </w:tcPr>
          <w:p w14:paraId="56396356">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（5）每日清洗、清洁垃圾收集桶，清洁整理垃圾分类房，严格执行垃圾分类要求。</w:t>
            </w:r>
          </w:p>
        </w:tc>
      </w:tr>
      <w:tr w14:paraId="3F510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trPr>
        <w:tc>
          <w:tcPr>
            <w:tcW w:w="574" w:type="dxa"/>
            <w:vMerge w:val="restart"/>
            <w:vAlign w:val="center"/>
          </w:tcPr>
          <w:p w14:paraId="676E619F">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844" w:type="dxa"/>
            <w:vMerge w:val="restart"/>
            <w:vAlign w:val="center"/>
          </w:tcPr>
          <w:p w14:paraId="7545A648">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卫生消毒</w:t>
            </w:r>
          </w:p>
        </w:tc>
        <w:tc>
          <w:tcPr>
            <w:tcW w:w="6089" w:type="dxa"/>
            <w:vAlign w:val="center"/>
          </w:tcPr>
          <w:p w14:paraId="552E41C6">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（1）办公用房区域、公共场所区域和周围环境预防性卫生消毒，消毒后及时通风，每周至少开展1次作业。</w:t>
            </w:r>
          </w:p>
        </w:tc>
      </w:tr>
      <w:tr w14:paraId="1B12E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8" w:hRule="atLeast"/>
        </w:trPr>
        <w:tc>
          <w:tcPr>
            <w:tcW w:w="574" w:type="dxa"/>
            <w:vMerge w:val="continue"/>
            <w:vAlign w:val="center"/>
          </w:tcPr>
          <w:p w14:paraId="010D7ADD">
            <w:pPr>
              <w:widowControl/>
              <w:spacing w:line="360" w:lineRule="exact"/>
              <w:jc w:val="center"/>
              <w:rPr>
                <w:rFonts w:ascii="仿宋" w:hAnsi="仿宋" w:eastAsia="仿宋" w:cs="仿宋"/>
                <w:color w:val="auto"/>
                <w:highlight w:val="none"/>
              </w:rPr>
            </w:pPr>
          </w:p>
        </w:tc>
        <w:tc>
          <w:tcPr>
            <w:tcW w:w="1844" w:type="dxa"/>
            <w:vMerge w:val="continue"/>
            <w:vAlign w:val="center"/>
          </w:tcPr>
          <w:p w14:paraId="646C9A48">
            <w:pPr>
              <w:widowControl/>
              <w:spacing w:line="360" w:lineRule="exact"/>
              <w:rPr>
                <w:rFonts w:ascii="仿宋" w:hAnsi="仿宋" w:eastAsia="仿宋" w:cs="仿宋"/>
                <w:color w:val="auto"/>
                <w:highlight w:val="none"/>
              </w:rPr>
            </w:pPr>
          </w:p>
        </w:tc>
        <w:tc>
          <w:tcPr>
            <w:tcW w:w="6089" w:type="dxa"/>
            <w:vAlign w:val="center"/>
          </w:tcPr>
          <w:p w14:paraId="0D1C585E">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（2）采取综合措施消灭老鼠、蟑螂，控制室内外蚊虫孳生，达到基本无蝇，每季度至少开展1次作业。</w:t>
            </w:r>
          </w:p>
        </w:tc>
      </w:tr>
      <w:tr w14:paraId="4E16F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6" w:hRule="atLeast"/>
        </w:trPr>
        <w:tc>
          <w:tcPr>
            <w:tcW w:w="574" w:type="dxa"/>
            <w:vMerge w:val="continue"/>
            <w:vAlign w:val="center"/>
          </w:tcPr>
          <w:p w14:paraId="5A3061AC">
            <w:pPr>
              <w:widowControl/>
              <w:spacing w:line="360" w:lineRule="exact"/>
              <w:jc w:val="center"/>
              <w:rPr>
                <w:rFonts w:ascii="仿宋" w:hAnsi="仿宋" w:eastAsia="仿宋" w:cs="仿宋"/>
                <w:color w:val="auto"/>
                <w:highlight w:val="none"/>
              </w:rPr>
            </w:pPr>
          </w:p>
        </w:tc>
        <w:tc>
          <w:tcPr>
            <w:tcW w:w="1844" w:type="dxa"/>
            <w:vMerge w:val="continue"/>
            <w:vAlign w:val="center"/>
          </w:tcPr>
          <w:p w14:paraId="31A4060C">
            <w:pPr>
              <w:widowControl/>
              <w:spacing w:line="360" w:lineRule="exact"/>
              <w:rPr>
                <w:rFonts w:ascii="仿宋" w:hAnsi="仿宋" w:eastAsia="仿宋" w:cs="仿宋"/>
                <w:color w:val="auto"/>
                <w:highlight w:val="none"/>
              </w:rPr>
            </w:pPr>
          </w:p>
        </w:tc>
        <w:tc>
          <w:tcPr>
            <w:tcW w:w="6089" w:type="dxa"/>
            <w:vAlign w:val="center"/>
          </w:tcPr>
          <w:p w14:paraId="7072B386">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（3）发生公共卫生事件时，配合专业单位开展消毒、检测等工作。</w:t>
            </w:r>
          </w:p>
        </w:tc>
      </w:tr>
      <w:tr w14:paraId="2C21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6" w:hRule="atLeast"/>
        </w:trPr>
        <w:tc>
          <w:tcPr>
            <w:tcW w:w="574" w:type="dxa"/>
            <w:vMerge w:val="continue"/>
            <w:vAlign w:val="center"/>
          </w:tcPr>
          <w:p w14:paraId="5C26132B">
            <w:pPr>
              <w:widowControl/>
              <w:spacing w:line="360" w:lineRule="exact"/>
              <w:jc w:val="center"/>
              <w:rPr>
                <w:rFonts w:ascii="仿宋" w:hAnsi="仿宋" w:eastAsia="仿宋" w:cs="仿宋"/>
                <w:color w:val="auto"/>
                <w:highlight w:val="none"/>
              </w:rPr>
            </w:pPr>
          </w:p>
        </w:tc>
        <w:tc>
          <w:tcPr>
            <w:tcW w:w="1844" w:type="dxa"/>
            <w:vMerge w:val="continue"/>
            <w:vAlign w:val="center"/>
          </w:tcPr>
          <w:p w14:paraId="79CB5B34">
            <w:pPr>
              <w:widowControl/>
              <w:spacing w:line="360" w:lineRule="exact"/>
              <w:rPr>
                <w:rFonts w:ascii="仿宋" w:hAnsi="仿宋" w:eastAsia="仿宋" w:cs="仿宋"/>
                <w:color w:val="auto"/>
                <w:highlight w:val="none"/>
              </w:rPr>
            </w:pPr>
          </w:p>
        </w:tc>
        <w:tc>
          <w:tcPr>
            <w:tcW w:w="6089" w:type="dxa"/>
            <w:vAlign w:val="center"/>
          </w:tcPr>
          <w:p w14:paraId="653631C2">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（4）根据卫生防疫部门及学校要求定期对学生教室进行消毒，并做好消毒记录。</w:t>
            </w:r>
          </w:p>
        </w:tc>
      </w:tr>
      <w:tr w14:paraId="4120B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6" w:hRule="atLeast"/>
        </w:trPr>
        <w:tc>
          <w:tcPr>
            <w:tcW w:w="574" w:type="dxa"/>
            <w:vAlign w:val="center"/>
          </w:tcPr>
          <w:p w14:paraId="6391D99F">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1844" w:type="dxa"/>
            <w:vAlign w:val="center"/>
          </w:tcPr>
          <w:p w14:paraId="5490ECAF">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其他要求</w:t>
            </w:r>
          </w:p>
        </w:tc>
        <w:tc>
          <w:tcPr>
            <w:tcW w:w="6089" w:type="dxa"/>
            <w:vAlign w:val="center"/>
          </w:tcPr>
          <w:p w14:paraId="1F5F5870">
            <w:pPr>
              <w:widowControl/>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（1）每月至少开展1次公用部位的门、窗、楼梯、通风道、室内地面、墙面、吊顶和室外屋面等巡查，发现破损，及时向采购人报告。</w:t>
            </w:r>
          </w:p>
          <w:p w14:paraId="38B8FE1F">
            <w:pPr>
              <w:widowControl/>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（2）每月至少开展1次大门、围墙、道路、场地、管井、沟渠等巡查，每月至少开展1次雨污水管井、化粪池、水电及消防设施等巡查，发现破损，及时向采购人报告并进行维护。</w:t>
            </w:r>
          </w:p>
          <w:p w14:paraId="0E11F7B7">
            <w:pPr>
              <w:widowControl/>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（3）每学期定期进行雨污水管井、化粪池清理，保持畅通、不淤积。</w:t>
            </w:r>
          </w:p>
          <w:p w14:paraId="335B4BA3">
            <w:pPr>
              <w:widowControl/>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（4）重大节假日及恶劣天气前后，组织系统巡检。</w:t>
            </w:r>
          </w:p>
        </w:tc>
      </w:tr>
    </w:tbl>
    <w:p w14:paraId="7EBC0D4D">
      <w:pPr>
        <w:pStyle w:val="19"/>
        <w:jc w:val="left"/>
        <w:rPr>
          <w:rFonts w:ascii="仿宋" w:hAnsi="仿宋" w:eastAsia="仿宋" w:cs="仿宋"/>
          <w:color w:val="auto"/>
          <w:sz w:val="28"/>
          <w:highlight w:val="none"/>
        </w:rPr>
      </w:pPr>
      <w:r>
        <w:rPr>
          <w:rFonts w:hint="eastAsia" w:ascii="仿宋" w:hAnsi="仿宋" w:eastAsia="仿宋" w:cs="仿宋"/>
          <w:color w:val="auto"/>
          <w:sz w:val="28"/>
          <w:highlight w:val="none"/>
        </w:rPr>
        <w:t>3.4.1具体清洁要求</w:t>
      </w:r>
    </w:p>
    <w:tbl>
      <w:tblPr>
        <w:tblStyle w:val="6"/>
        <w:tblW w:w="5045" w:type="pct"/>
        <w:tblInd w:w="-2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9"/>
        <w:gridCol w:w="1618"/>
        <w:gridCol w:w="6232"/>
      </w:tblGrid>
      <w:tr w14:paraId="0A3CB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91" w:type="dxa"/>
            <w:vAlign w:val="center"/>
          </w:tcPr>
          <w:p w14:paraId="35B68ADB">
            <w:pPr>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1773" w:type="dxa"/>
            <w:vAlign w:val="center"/>
          </w:tcPr>
          <w:p w14:paraId="1B34E9F2">
            <w:pPr>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材质</w:t>
            </w:r>
          </w:p>
        </w:tc>
        <w:tc>
          <w:tcPr>
            <w:tcW w:w="6921" w:type="dxa"/>
            <w:vAlign w:val="center"/>
          </w:tcPr>
          <w:p w14:paraId="495C6E44">
            <w:pPr>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清洁要求</w:t>
            </w:r>
          </w:p>
        </w:tc>
      </w:tr>
      <w:tr w14:paraId="3BAFB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restart"/>
            <w:vAlign w:val="center"/>
          </w:tcPr>
          <w:p w14:paraId="457A79C9">
            <w:pPr>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773" w:type="dxa"/>
            <w:vMerge w:val="restart"/>
            <w:vAlign w:val="center"/>
          </w:tcPr>
          <w:p w14:paraId="55C8D052">
            <w:pPr>
              <w:spacing w:line="360" w:lineRule="exact"/>
              <w:rPr>
                <w:rFonts w:ascii="仿宋" w:hAnsi="仿宋" w:eastAsia="仿宋" w:cs="仿宋"/>
                <w:color w:val="auto"/>
                <w:highlight w:val="none"/>
              </w:rPr>
            </w:pPr>
            <w:r>
              <w:rPr>
                <w:rFonts w:hint="eastAsia" w:ascii="仿宋" w:hAnsi="仿宋" w:eastAsia="仿宋" w:cs="仿宋"/>
                <w:color w:val="auto"/>
                <w:highlight w:val="none"/>
              </w:rPr>
              <w:t>环氧地坪地面</w:t>
            </w:r>
          </w:p>
        </w:tc>
        <w:tc>
          <w:tcPr>
            <w:tcW w:w="6921" w:type="dxa"/>
            <w:vAlign w:val="center"/>
          </w:tcPr>
          <w:p w14:paraId="11AE5062">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（1）清理垃圾：清理地面上的垃圾和杂物。</w:t>
            </w:r>
          </w:p>
        </w:tc>
      </w:tr>
      <w:tr w14:paraId="646B1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20BA5541">
            <w:pPr>
              <w:spacing w:line="360" w:lineRule="exact"/>
              <w:jc w:val="center"/>
              <w:rPr>
                <w:rFonts w:ascii="仿宋" w:hAnsi="仿宋" w:eastAsia="仿宋" w:cs="仿宋"/>
                <w:color w:val="auto"/>
                <w:highlight w:val="none"/>
              </w:rPr>
            </w:pPr>
          </w:p>
        </w:tc>
        <w:tc>
          <w:tcPr>
            <w:tcW w:w="1773" w:type="dxa"/>
            <w:vMerge w:val="continue"/>
            <w:vAlign w:val="center"/>
          </w:tcPr>
          <w:p w14:paraId="76FBF19C">
            <w:pPr>
              <w:spacing w:line="360" w:lineRule="exact"/>
              <w:rPr>
                <w:rFonts w:ascii="仿宋" w:hAnsi="仿宋" w:eastAsia="仿宋" w:cs="仿宋"/>
                <w:color w:val="auto"/>
                <w:highlight w:val="none"/>
              </w:rPr>
            </w:pPr>
          </w:p>
        </w:tc>
        <w:tc>
          <w:tcPr>
            <w:tcW w:w="6921" w:type="dxa"/>
            <w:vAlign w:val="center"/>
          </w:tcPr>
          <w:p w14:paraId="624AB458">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（2）清洗地面：用专业的清洁剂或去污剂清洗地面。清洁剂和去污剂的选取要根据污垢的性质而定。环氧地坪一般使用弱酸性或弱碱性的清洁剂，避免使用酸性或碱性强的清洁剂。</w:t>
            </w:r>
          </w:p>
        </w:tc>
      </w:tr>
      <w:tr w14:paraId="1ADA6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28B096CD">
            <w:pPr>
              <w:spacing w:line="360" w:lineRule="exact"/>
              <w:jc w:val="center"/>
              <w:rPr>
                <w:rFonts w:ascii="仿宋" w:hAnsi="仿宋" w:eastAsia="仿宋" w:cs="仿宋"/>
                <w:color w:val="auto"/>
                <w:highlight w:val="none"/>
              </w:rPr>
            </w:pPr>
          </w:p>
        </w:tc>
        <w:tc>
          <w:tcPr>
            <w:tcW w:w="1773" w:type="dxa"/>
            <w:vMerge w:val="continue"/>
            <w:vAlign w:val="center"/>
          </w:tcPr>
          <w:p w14:paraId="110190B8">
            <w:pPr>
              <w:spacing w:line="360" w:lineRule="exact"/>
              <w:rPr>
                <w:rFonts w:ascii="仿宋" w:hAnsi="仿宋" w:eastAsia="仿宋" w:cs="仿宋"/>
                <w:color w:val="auto"/>
                <w:highlight w:val="none"/>
              </w:rPr>
            </w:pPr>
          </w:p>
        </w:tc>
        <w:tc>
          <w:tcPr>
            <w:tcW w:w="6921" w:type="dxa"/>
            <w:vAlign w:val="center"/>
          </w:tcPr>
          <w:p w14:paraId="2A140FD3">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（3）滚刷或颗粒机进行深层清洗：对于顽固沉积物，需要使用滚刷或颗粒机进行深层清洗。</w:t>
            </w:r>
          </w:p>
        </w:tc>
      </w:tr>
      <w:tr w14:paraId="058E8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7D6F07E2">
            <w:pPr>
              <w:spacing w:line="360" w:lineRule="exact"/>
              <w:jc w:val="center"/>
              <w:rPr>
                <w:rFonts w:ascii="仿宋" w:hAnsi="仿宋" w:eastAsia="仿宋" w:cs="仿宋"/>
                <w:color w:val="auto"/>
                <w:highlight w:val="none"/>
              </w:rPr>
            </w:pPr>
          </w:p>
        </w:tc>
        <w:tc>
          <w:tcPr>
            <w:tcW w:w="1773" w:type="dxa"/>
            <w:vMerge w:val="continue"/>
            <w:vAlign w:val="center"/>
          </w:tcPr>
          <w:p w14:paraId="57C3A421">
            <w:pPr>
              <w:spacing w:line="360" w:lineRule="exact"/>
              <w:rPr>
                <w:rFonts w:ascii="仿宋" w:hAnsi="仿宋" w:eastAsia="仿宋" w:cs="仿宋"/>
                <w:color w:val="auto"/>
                <w:highlight w:val="none"/>
              </w:rPr>
            </w:pPr>
          </w:p>
        </w:tc>
        <w:tc>
          <w:tcPr>
            <w:tcW w:w="6921" w:type="dxa"/>
            <w:vAlign w:val="center"/>
          </w:tcPr>
          <w:p w14:paraId="7F701E9F">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（4）浸泡：将清洁剂或去污剂浸泡在环氧地坪上，加强去除污渍的效果。</w:t>
            </w:r>
          </w:p>
        </w:tc>
      </w:tr>
      <w:tr w14:paraId="5ADE7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4D4CED7F">
            <w:pPr>
              <w:spacing w:line="360" w:lineRule="exact"/>
              <w:jc w:val="center"/>
              <w:rPr>
                <w:rFonts w:ascii="仿宋" w:hAnsi="仿宋" w:eastAsia="仿宋" w:cs="仿宋"/>
                <w:color w:val="auto"/>
                <w:highlight w:val="none"/>
              </w:rPr>
            </w:pPr>
          </w:p>
        </w:tc>
        <w:tc>
          <w:tcPr>
            <w:tcW w:w="1773" w:type="dxa"/>
            <w:vMerge w:val="continue"/>
            <w:vAlign w:val="center"/>
          </w:tcPr>
          <w:p w14:paraId="33EA2577">
            <w:pPr>
              <w:spacing w:line="360" w:lineRule="exact"/>
              <w:rPr>
                <w:rFonts w:ascii="仿宋" w:hAnsi="仿宋" w:eastAsia="仿宋" w:cs="仿宋"/>
                <w:color w:val="auto"/>
                <w:highlight w:val="none"/>
              </w:rPr>
            </w:pPr>
          </w:p>
        </w:tc>
        <w:tc>
          <w:tcPr>
            <w:tcW w:w="6921" w:type="dxa"/>
            <w:vAlign w:val="center"/>
          </w:tcPr>
          <w:p w14:paraId="5CD4165F">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（5）冲洗：用清水将地面冲洗干净，以去除残留的清洁剂或去污剂。</w:t>
            </w:r>
          </w:p>
        </w:tc>
      </w:tr>
      <w:tr w14:paraId="14114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restart"/>
            <w:vAlign w:val="center"/>
          </w:tcPr>
          <w:p w14:paraId="7E494D96">
            <w:pPr>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773" w:type="dxa"/>
            <w:vMerge w:val="restart"/>
            <w:vAlign w:val="center"/>
          </w:tcPr>
          <w:p w14:paraId="1C470615">
            <w:pPr>
              <w:spacing w:line="360" w:lineRule="exact"/>
              <w:rPr>
                <w:rFonts w:ascii="仿宋" w:hAnsi="仿宋" w:eastAsia="仿宋" w:cs="仿宋"/>
                <w:color w:val="auto"/>
                <w:highlight w:val="none"/>
              </w:rPr>
            </w:pPr>
            <w:r>
              <w:rPr>
                <w:rFonts w:hint="eastAsia" w:ascii="仿宋" w:hAnsi="仿宋" w:eastAsia="仿宋" w:cs="仿宋"/>
                <w:color w:val="auto"/>
                <w:highlight w:val="none"/>
              </w:rPr>
              <w:t>耐磨漆地面</w:t>
            </w:r>
          </w:p>
        </w:tc>
        <w:tc>
          <w:tcPr>
            <w:tcW w:w="6921" w:type="dxa"/>
            <w:vAlign w:val="center"/>
          </w:tcPr>
          <w:p w14:paraId="3DBB606B">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（1）日常清洁：使用软质拖把或地板清洁机，配合清水和中性清洁剂进行清洁。避免使用酸性或碱性清洁剂，以免损坏地面表面。定期清理地面上的污渍和杂物，保持地面干净整洁。</w:t>
            </w:r>
          </w:p>
        </w:tc>
      </w:tr>
      <w:tr w14:paraId="7E09B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4C740FC8">
            <w:pPr>
              <w:spacing w:line="360" w:lineRule="exact"/>
              <w:jc w:val="center"/>
              <w:rPr>
                <w:rFonts w:ascii="仿宋" w:hAnsi="仿宋" w:eastAsia="仿宋" w:cs="仿宋"/>
                <w:color w:val="auto"/>
                <w:highlight w:val="none"/>
              </w:rPr>
            </w:pPr>
          </w:p>
        </w:tc>
        <w:tc>
          <w:tcPr>
            <w:tcW w:w="1773" w:type="dxa"/>
            <w:vMerge w:val="continue"/>
            <w:vAlign w:val="center"/>
          </w:tcPr>
          <w:p w14:paraId="5361DC9B">
            <w:pPr>
              <w:spacing w:line="360" w:lineRule="exact"/>
              <w:rPr>
                <w:rFonts w:ascii="仿宋" w:hAnsi="仿宋" w:eastAsia="仿宋" w:cs="仿宋"/>
                <w:color w:val="auto"/>
                <w:highlight w:val="none"/>
              </w:rPr>
            </w:pPr>
          </w:p>
        </w:tc>
        <w:tc>
          <w:tcPr>
            <w:tcW w:w="6921" w:type="dxa"/>
            <w:vAlign w:val="center"/>
          </w:tcPr>
          <w:p w14:paraId="101479F2">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（2）打蜡：为了增加耐磨地面的光亮度和耐磨性，可以进行打蜡处理。使用适合聚氨酯地面的蜡进行均匀涂抹，待蜡干燥后使用抛光机或拖把清理地面，使其变得光滑而有光泽。</w:t>
            </w:r>
          </w:p>
        </w:tc>
      </w:tr>
      <w:tr w14:paraId="3BD81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restart"/>
            <w:vAlign w:val="center"/>
          </w:tcPr>
          <w:p w14:paraId="2D68A6E4">
            <w:pPr>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1773" w:type="dxa"/>
            <w:vMerge w:val="restart"/>
            <w:vAlign w:val="center"/>
          </w:tcPr>
          <w:p w14:paraId="5C8E7AC3">
            <w:pPr>
              <w:spacing w:line="360" w:lineRule="exact"/>
              <w:rPr>
                <w:rFonts w:ascii="仿宋" w:hAnsi="仿宋" w:eastAsia="仿宋" w:cs="仿宋"/>
                <w:color w:val="auto"/>
                <w:highlight w:val="none"/>
              </w:rPr>
            </w:pPr>
            <w:r>
              <w:rPr>
                <w:rFonts w:hint="eastAsia" w:ascii="仿宋" w:hAnsi="仿宋" w:eastAsia="仿宋" w:cs="仿宋"/>
                <w:color w:val="auto"/>
                <w:highlight w:val="none"/>
              </w:rPr>
              <w:t>瓷砖地面</w:t>
            </w:r>
          </w:p>
        </w:tc>
        <w:tc>
          <w:tcPr>
            <w:tcW w:w="6921" w:type="dxa"/>
            <w:vAlign w:val="center"/>
          </w:tcPr>
          <w:p w14:paraId="6B8784CD">
            <w:pPr>
              <w:spacing w:line="360" w:lineRule="exact"/>
              <w:rPr>
                <w:rFonts w:ascii="仿宋" w:hAnsi="仿宋" w:eastAsia="仿宋" w:cs="仿宋"/>
                <w:color w:val="auto"/>
                <w:highlight w:val="none"/>
              </w:rPr>
            </w:pPr>
            <w:r>
              <w:rPr>
                <w:rFonts w:hint="eastAsia" w:ascii="仿宋" w:hAnsi="仿宋" w:eastAsia="仿宋" w:cs="仿宋"/>
                <w:color w:val="auto"/>
                <w:highlight w:val="none"/>
              </w:rPr>
              <w:t>（1）日常清洁：推尘，保持地面干净无杂物。</w:t>
            </w:r>
          </w:p>
        </w:tc>
      </w:tr>
      <w:tr w14:paraId="1BEE4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74666478">
            <w:pPr>
              <w:spacing w:line="360" w:lineRule="exact"/>
              <w:jc w:val="center"/>
              <w:rPr>
                <w:rFonts w:ascii="仿宋" w:hAnsi="仿宋" w:eastAsia="仿宋" w:cs="仿宋"/>
                <w:color w:val="auto"/>
                <w:highlight w:val="none"/>
              </w:rPr>
            </w:pPr>
          </w:p>
        </w:tc>
        <w:tc>
          <w:tcPr>
            <w:tcW w:w="1773" w:type="dxa"/>
            <w:vMerge w:val="continue"/>
            <w:vAlign w:val="center"/>
          </w:tcPr>
          <w:p w14:paraId="3EFB18A0">
            <w:pPr>
              <w:spacing w:line="360" w:lineRule="exact"/>
              <w:rPr>
                <w:rFonts w:ascii="仿宋" w:hAnsi="仿宋" w:eastAsia="仿宋" w:cs="仿宋"/>
                <w:color w:val="auto"/>
                <w:highlight w:val="none"/>
              </w:rPr>
            </w:pPr>
          </w:p>
        </w:tc>
        <w:tc>
          <w:tcPr>
            <w:tcW w:w="6921" w:type="dxa"/>
            <w:vAlign w:val="center"/>
          </w:tcPr>
          <w:p w14:paraId="6120BFEC">
            <w:pPr>
              <w:spacing w:line="360" w:lineRule="exact"/>
              <w:rPr>
                <w:rFonts w:ascii="仿宋" w:hAnsi="仿宋" w:eastAsia="仿宋" w:cs="仿宋"/>
                <w:color w:val="auto"/>
                <w:highlight w:val="none"/>
              </w:rPr>
            </w:pPr>
            <w:r>
              <w:rPr>
                <w:rFonts w:hint="eastAsia" w:ascii="仿宋" w:hAnsi="仿宋" w:eastAsia="仿宋" w:cs="仿宋"/>
                <w:color w:val="auto"/>
                <w:highlight w:val="none"/>
              </w:rPr>
              <w:t>（2）深度清洁：使用洗洁精或肥皂水清理。</w:t>
            </w:r>
          </w:p>
        </w:tc>
      </w:tr>
      <w:tr w14:paraId="6B843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restart"/>
            <w:vAlign w:val="center"/>
          </w:tcPr>
          <w:p w14:paraId="41EDE16A">
            <w:pPr>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773" w:type="dxa"/>
            <w:vMerge w:val="restart"/>
            <w:vAlign w:val="center"/>
          </w:tcPr>
          <w:p w14:paraId="0F3A6A9F">
            <w:pPr>
              <w:spacing w:line="360" w:lineRule="exact"/>
              <w:rPr>
                <w:rFonts w:ascii="仿宋" w:hAnsi="仿宋" w:eastAsia="仿宋" w:cs="仿宋"/>
                <w:color w:val="auto"/>
                <w:highlight w:val="none"/>
              </w:rPr>
            </w:pPr>
            <w:r>
              <w:rPr>
                <w:rFonts w:hint="eastAsia" w:ascii="仿宋" w:hAnsi="仿宋" w:eastAsia="仿宋" w:cs="仿宋"/>
                <w:color w:val="auto"/>
                <w:highlight w:val="none"/>
              </w:rPr>
              <w:t>石材地面</w:t>
            </w:r>
          </w:p>
        </w:tc>
        <w:tc>
          <w:tcPr>
            <w:tcW w:w="6921" w:type="dxa"/>
            <w:vAlign w:val="center"/>
          </w:tcPr>
          <w:p w14:paraId="0E93514A">
            <w:pPr>
              <w:spacing w:line="360" w:lineRule="exact"/>
              <w:rPr>
                <w:rFonts w:ascii="仿宋" w:hAnsi="仿宋" w:eastAsia="仿宋" w:cs="仿宋"/>
                <w:color w:val="auto"/>
                <w:highlight w:val="none"/>
              </w:rPr>
            </w:pPr>
            <w:r>
              <w:rPr>
                <w:rFonts w:hint="eastAsia" w:ascii="仿宋" w:hAnsi="仿宋" w:eastAsia="仿宋" w:cs="仿宋"/>
                <w:color w:val="auto"/>
                <w:highlight w:val="none"/>
              </w:rPr>
              <w:t>（1）根据各区域的人流量及大理石的实际磨损程度制定大理石的晶面保养计划。</w:t>
            </w:r>
          </w:p>
        </w:tc>
      </w:tr>
      <w:tr w14:paraId="147DC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4737A19D">
            <w:pPr>
              <w:spacing w:line="360" w:lineRule="exact"/>
              <w:jc w:val="center"/>
              <w:rPr>
                <w:rFonts w:ascii="仿宋" w:hAnsi="仿宋" w:eastAsia="仿宋" w:cs="仿宋"/>
                <w:color w:val="auto"/>
                <w:highlight w:val="none"/>
              </w:rPr>
            </w:pPr>
          </w:p>
        </w:tc>
        <w:tc>
          <w:tcPr>
            <w:tcW w:w="1773" w:type="dxa"/>
            <w:vMerge w:val="continue"/>
            <w:vAlign w:val="center"/>
          </w:tcPr>
          <w:p w14:paraId="4B40EB87">
            <w:pPr>
              <w:spacing w:line="360" w:lineRule="exact"/>
              <w:rPr>
                <w:rFonts w:ascii="仿宋" w:hAnsi="仿宋" w:eastAsia="仿宋" w:cs="仿宋"/>
                <w:color w:val="auto"/>
                <w:highlight w:val="none"/>
              </w:rPr>
            </w:pPr>
          </w:p>
        </w:tc>
        <w:tc>
          <w:tcPr>
            <w:tcW w:w="6921" w:type="dxa"/>
            <w:vAlign w:val="center"/>
          </w:tcPr>
          <w:p w14:paraId="53F01C74">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（2）启动晶面机，使用中性清洁剂清洁，避免使用强酸或强碱清洁剂，定期进行基础维护。</w:t>
            </w:r>
          </w:p>
        </w:tc>
      </w:tr>
      <w:tr w14:paraId="27868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restart"/>
            <w:vAlign w:val="center"/>
          </w:tcPr>
          <w:p w14:paraId="48CABFD8">
            <w:pPr>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773" w:type="dxa"/>
            <w:vMerge w:val="restart"/>
            <w:vAlign w:val="center"/>
          </w:tcPr>
          <w:p w14:paraId="3D3D12EE">
            <w:pPr>
              <w:spacing w:line="360" w:lineRule="exact"/>
              <w:rPr>
                <w:rFonts w:ascii="仿宋" w:hAnsi="仿宋" w:eastAsia="仿宋" w:cs="仿宋"/>
                <w:color w:val="auto"/>
                <w:highlight w:val="none"/>
              </w:rPr>
            </w:pPr>
            <w:r>
              <w:rPr>
                <w:rFonts w:hint="eastAsia" w:ascii="仿宋" w:hAnsi="仿宋" w:eastAsia="仿宋" w:cs="仿宋"/>
                <w:color w:val="auto"/>
                <w:highlight w:val="none"/>
              </w:rPr>
              <w:t>水磨石地面</w:t>
            </w:r>
          </w:p>
        </w:tc>
        <w:tc>
          <w:tcPr>
            <w:tcW w:w="6921" w:type="dxa"/>
            <w:vAlign w:val="center"/>
          </w:tcPr>
          <w:p w14:paraId="031AB4BC">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（1）日常清洁：推尘，保持地面干净无杂物。</w:t>
            </w:r>
          </w:p>
        </w:tc>
      </w:tr>
      <w:tr w14:paraId="11621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466ED0F8">
            <w:pPr>
              <w:spacing w:line="360" w:lineRule="exact"/>
              <w:jc w:val="center"/>
              <w:rPr>
                <w:rFonts w:ascii="仿宋" w:hAnsi="仿宋" w:eastAsia="仿宋" w:cs="仿宋"/>
                <w:color w:val="auto"/>
                <w:highlight w:val="none"/>
              </w:rPr>
            </w:pPr>
          </w:p>
        </w:tc>
        <w:tc>
          <w:tcPr>
            <w:tcW w:w="1773" w:type="dxa"/>
            <w:vMerge w:val="continue"/>
            <w:vAlign w:val="center"/>
          </w:tcPr>
          <w:p w14:paraId="22B1EC44">
            <w:pPr>
              <w:spacing w:line="360" w:lineRule="exact"/>
              <w:rPr>
                <w:rFonts w:ascii="仿宋" w:hAnsi="仿宋" w:eastAsia="仿宋" w:cs="仿宋"/>
                <w:color w:val="auto"/>
                <w:highlight w:val="none"/>
              </w:rPr>
            </w:pPr>
          </w:p>
        </w:tc>
        <w:tc>
          <w:tcPr>
            <w:tcW w:w="6921" w:type="dxa"/>
            <w:vAlign w:val="center"/>
          </w:tcPr>
          <w:p w14:paraId="769B9F80">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（2）深度清洁：使用洗洁精或肥皂水清理。</w:t>
            </w:r>
          </w:p>
        </w:tc>
      </w:tr>
      <w:tr w14:paraId="0F4ED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restart"/>
            <w:vAlign w:val="center"/>
          </w:tcPr>
          <w:p w14:paraId="20050F2A">
            <w:pPr>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1773" w:type="dxa"/>
            <w:vMerge w:val="restart"/>
            <w:vAlign w:val="center"/>
          </w:tcPr>
          <w:p w14:paraId="1F98C2EE">
            <w:pPr>
              <w:spacing w:line="360" w:lineRule="exact"/>
              <w:rPr>
                <w:rFonts w:ascii="仿宋" w:hAnsi="仿宋" w:eastAsia="仿宋" w:cs="仿宋"/>
                <w:color w:val="auto"/>
                <w:highlight w:val="none"/>
              </w:rPr>
            </w:pPr>
            <w:r>
              <w:rPr>
                <w:rFonts w:hint="eastAsia" w:ascii="仿宋" w:hAnsi="仿宋" w:eastAsia="仿宋" w:cs="仿宋"/>
                <w:color w:val="auto"/>
                <w:highlight w:val="none"/>
              </w:rPr>
              <w:t>地胶板地面</w:t>
            </w:r>
          </w:p>
        </w:tc>
        <w:tc>
          <w:tcPr>
            <w:tcW w:w="6921" w:type="dxa"/>
            <w:vAlign w:val="center"/>
          </w:tcPr>
          <w:p w14:paraId="0A8A597D">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（1）定期保养。使用中性清洁剂清洁，避免使用强酸或强碱清洁剂，定期进行基础维护。</w:t>
            </w:r>
          </w:p>
        </w:tc>
      </w:tr>
      <w:tr w14:paraId="7084F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2C6F4604">
            <w:pPr>
              <w:spacing w:line="360" w:lineRule="exact"/>
              <w:jc w:val="center"/>
              <w:rPr>
                <w:rFonts w:ascii="仿宋" w:hAnsi="仿宋" w:eastAsia="仿宋" w:cs="仿宋"/>
                <w:color w:val="auto"/>
                <w:highlight w:val="none"/>
              </w:rPr>
            </w:pPr>
          </w:p>
        </w:tc>
        <w:tc>
          <w:tcPr>
            <w:tcW w:w="1773" w:type="dxa"/>
            <w:vMerge w:val="continue"/>
            <w:vAlign w:val="center"/>
          </w:tcPr>
          <w:p w14:paraId="579AC66C">
            <w:pPr>
              <w:spacing w:line="360" w:lineRule="exact"/>
              <w:rPr>
                <w:rFonts w:ascii="仿宋" w:hAnsi="仿宋" w:eastAsia="仿宋" w:cs="仿宋"/>
                <w:color w:val="auto"/>
                <w:highlight w:val="none"/>
              </w:rPr>
            </w:pPr>
          </w:p>
        </w:tc>
        <w:tc>
          <w:tcPr>
            <w:tcW w:w="6921" w:type="dxa"/>
            <w:vAlign w:val="center"/>
          </w:tcPr>
          <w:p w14:paraId="011867EC">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（2）日常维护。使用湿润的拖把清洁，污染严重时局部清洁，每月对地胶板地面进行打蜡处理。</w:t>
            </w:r>
          </w:p>
        </w:tc>
      </w:tr>
      <w:tr w14:paraId="09AD4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restart"/>
            <w:vAlign w:val="center"/>
          </w:tcPr>
          <w:p w14:paraId="3DA2BD0D">
            <w:pPr>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1773" w:type="dxa"/>
            <w:vMerge w:val="restart"/>
            <w:vAlign w:val="center"/>
          </w:tcPr>
          <w:p w14:paraId="368E3406">
            <w:pPr>
              <w:spacing w:line="360" w:lineRule="exact"/>
              <w:rPr>
                <w:rFonts w:ascii="仿宋" w:hAnsi="仿宋" w:eastAsia="仿宋" w:cs="仿宋"/>
                <w:color w:val="auto"/>
                <w:highlight w:val="none"/>
              </w:rPr>
            </w:pPr>
            <w:r>
              <w:rPr>
                <w:rFonts w:hint="eastAsia" w:ascii="仿宋" w:hAnsi="仿宋" w:eastAsia="仿宋" w:cs="仿宋"/>
                <w:color w:val="auto"/>
                <w:highlight w:val="none"/>
              </w:rPr>
              <w:t>地板地面</w:t>
            </w:r>
          </w:p>
        </w:tc>
        <w:tc>
          <w:tcPr>
            <w:tcW w:w="6921" w:type="dxa"/>
            <w:vAlign w:val="center"/>
          </w:tcPr>
          <w:p w14:paraId="42745960">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（1）定期保养。使用中性清洁剂清洁，避免使用强酸或强碱清洁剂，定期进行基础维护。</w:t>
            </w:r>
          </w:p>
        </w:tc>
      </w:tr>
      <w:tr w14:paraId="79C74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5FD6E568">
            <w:pPr>
              <w:spacing w:line="360" w:lineRule="exact"/>
              <w:jc w:val="center"/>
              <w:rPr>
                <w:rFonts w:ascii="仿宋" w:hAnsi="仿宋" w:eastAsia="仿宋" w:cs="仿宋"/>
                <w:color w:val="auto"/>
                <w:highlight w:val="none"/>
              </w:rPr>
            </w:pPr>
          </w:p>
        </w:tc>
        <w:tc>
          <w:tcPr>
            <w:tcW w:w="1773" w:type="dxa"/>
            <w:vMerge w:val="continue"/>
            <w:vAlign w:val="center"/>
          </w:tcPr>
          <w:p w14:paraId="31C70899">
            <w:pPr>
              <w:spacing w:line="360" w:lineRule="exact"/>
              <w:rPr>
                <w:rFonts w:ascii="仿宋" w:hAnsi="仿宋" w:eastAsia="仿宋" w:cs="仿宋"/>
                <w:color w:val="auto"/>
                <w:highlight w:val="none"/>
              </w:rPr>
            </w:pPr>
          </w:p>
        </w:tc>
        <w:tc>
          <w:tcPr>
            <w:tcW w:w="6921" w:type="dxa"/>
            <w:vAlign w:val="center"/>
          </w:tcPr>
          <w:p w14:paraId="50BF0132">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（2）日常维护。使用湿润的拖把清洁，污染严重时局部清洁，每月对地板进行打蜡处理。</w:t>
            </w:r>
          </w:p>
        </w:tc>
      </w:tr>
      <w:tr w14:paraId="1B06F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restart"/>
            <w:vAlign w:val="center"/>
          </w:tcPr>
          <w:p w14:paraId="03945137">
            <w:pPr>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1773" w:type="dxa"/>
            <w:vMerge w:val="restart"/>
            <w:vAlign w:val="center"/>
          </w:tcPr>
          <w:p w14:paraId="35BD934E">
            <w:pPr>
              <w:spacing w:line="360" w:lineRule="exact"/>
              <w:rPr>
                <w:rFonts w:ascii="仿宋" w:hAnsi="仿宋" w:eastAsia="仿宋" w:cs="仿宋"/>
                <w:color w:val="auto"/>
                <w:highlight w:val="none"/>
              </w:rPr>
            </w:pPr>
            <w:r>
              <w:rPr>
                <w:rFonts w:hint="eastAsia" w:ascii="仿宋" w:hAnsi="仿宋" w:eastAsia="仿宋" w:cs="仿宋"/>
                <w:color w:val="auto"/>
                <w:highlight w:val="none"/>
              </w:rPr>
              <w:t>地毯地面</w:t>
            </w:r>
          </w:p>
        </w:tc>
        <w:tc>
          <w:tcPr>
            <w:tcW w:w="6921" w:type="dxa"/>
            <w:vAlign w:val="center"/>
          </w:tcPr>
          <w:p w14:paraId="30F5F5AA">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（1）日常用吸尘机除尘，局部脏污用湿布配中性清洁液重点清洁。</w:t>
            </w:r>
          </w:p>
        </w:tc>
      </w:tr>
      <w:tr w14:paraId="71F0E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0CACB4AE">
            <w:pPr>
              <w:spacing w:line="360" w:lineRule="exact"/>
              <w:jc w:val="center"/>
              <w:rPr>
                <w:rFonts w:ascii="仿宋" w:hAnsi="仿宋" w:eastAsia="仿宋" w:cs="仿宋"/>
                <w:color w:val="auto"/>
                <w:highlight w:val="none"/>
              </w:rPr>
            </w:pPr>
          </w:p>
        </w:tc>
        <w:tc>
          <w:tcPr>
            <w:tcW w:w="1773" w:type="dxa"/>
            <w:vMerge w:val="continue"/>
            <w:vAlign w:val="center"/>
          </w:tcPr>
          <w:p w14:paraId="47A36A1D">
            <w:pPr>
              <w:spacing w:line="360" w:lineRule="exact"/>
              <w:rPr>
                <w:rFonts w:ascii="仿宋" w:hAnsi="仿宋" w:eastAsia="仿宋" w:cs="仿宋"/>
                <w:color w:val="auto"/>
                <w:highlight w:val="none"/>
              </w:rPr>
            </w:pPr>
          </w:p>
        </w:tc>
        <w:tc>
          <w:tcPr>
            <w:tcW w:w="6921" w:type="dxa"/>
            <w:vAlign w:val="center"/>
          </w:tcPr>
          <w:p w14:paraId="453EA2EC">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（2）用地毯清洗机进行整体清洗，除螨。</w:t>
            </w:r>
          </w:p>
        </w:tc>
      </w:tr>
    </w:tbl>
    <w:p w14:paraId="5AD4F7A4">
      <w:pPr>
        <w:pStyle w:val="16"/>
        <w:ind w:firstLine="200"/>
        <w:rPr>
          <w:rFonts w:ascii="仿宋" w:hAnsi="仿宋" w:eastAsia="仿宋" w:cs="仿宋"/>
          <w:color w:val="auto"/>
          <w:highlight w:val="none"/>
        </w:rPr>
      </w:pPr>
    </w:p>
    <w:p w14:paraId="751BB756">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四、服务人员要求</w:t>
      </w:r>
    </w:p>
    <w:tbl>
      <w:tblPr>
        <w:tblStyle w:val="6"/>
        <w:tblW w:w="8271"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2"/>
        <w:gridCol w:w="4890"/>
        <w:gridCol w:w="1279"/>
      </w:tblGrid>
      <w:tr w14:paraId="364FC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2102" w:type="dxa"/>
            <w:vAlign w:val="center"/>
          </w:tcPr>
          <w:p w14:paraId="42A71D81">
            <w:pPr>
              <w:widowControl/>
              <w:spacing w:line="36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岗位</w:t>
            </w:r>
          </w:p>
          <w:p w14:paraId="51417D00">
            <w:pPr>
              <w:widowControl/>
              <w:spacing w:line="360" w:lineRule="exact"/>
              <w:jc w:val="center"/>
              <w:rPr>
                <w:rFonts w:ascii="仿宋" w:hAnsi="仿宋" w:eastAsia="仿宋" w:cs="仿宋"/>
                <w:b/>
                <w:bCs/>
                <w:color w:val="auto"/>
                <w:szCs w:val="21"/>
                <w:highlight w:val="none"/>
              </w:rPr>
            </w:pPr>
          </w:p>
        </w:tc>
        <w:tc>
          <w:tcPr>
            <w:tcW w:w="4890" w:type="dxa"/>
            <w:vAlign w:val="center"/>
          </w:tcPr>
          <w:p w14:paraId="50B3998A">
            <w:pPr>
              <w:widowControl/>
              <w:spacing w:line="36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Cs w:val="21"/>
                <w:highlight w:val="none"/>
              </w:rPr>
              <w:t>相关要求</w:t>
            </w:r>
          </w:p>
        </w:tc>
        <w:tc>
          <w:tcPr>
            <w:tcW w:w="1279" w:type="dxa"/>
            <w:vAlign w:val="center"/>
          </w:tcPr>
          <w:p w14:paraId="1F785058">
            <w:pPr>
              <w:widowControl/>
              <w:spacing w:line="36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备注</w:t>
            </w:r>
          </w:p>
        </w:tc>
      </w:tr>
      <w:tr w14:paraId="1A7DA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trPr>
        <w:tc>
          <w:tcPr>
            <w:tcW w:w="2102" w:type="dxa"/>
            <w:vAlign w:val="center"/>
          </w:tcPr>
          <w:p w14:paraId="331B2AD0">
            <w:pPr>
              <w:widowControl/>
              <w:spacing w:line="360" w:lineRule="exact"/>
              <w:jc w:val="center"/>
              <w:rPr>
                <w:rFonts w:ascii="仿宋" w:hAnsi="仿宋" w:eastAsia="仿宋" w:cs="仿宋"/>
                <w:color w:val="auto"/>
                <w:highlight w:val="none"/>
              </w:rPr>
            </w:pPr>
            <w:r>
              <w:rPr>
                <w:rFonts w:hint="eastAsia" w:ascii="仿宋" w:hAnsi="仿宋" w:eastAsia="仿宋" w:cs="仿宋"/>
                <w:bCs/>
                <w:color w:val="auto"/>
                <w:szCs w:val="24"/>
                <w:highlight w:val="none"/>
              </w:rPr>
              <w:t>项目经理</w:t>
            </w:r>
          </w:p>
        </w:tc>
        <w:tc>
          <w:tcPr>
            <w:tcW w:w="4890" w:type="dxa"/>
            <w:noWrap/>
            <w:vAlign w:val="center"/>
          </w:tcPr>
          <w:p w14:paraId="0B26D8E1">
            <w:pPr>
              <w:widowControl/>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年龄55周岁（含）及以下，以身份证为准。熟悉物业管理相关法规，并能规范组织管理服务工作，知识面广，专业技能熟练，有较强的组织领导能力和协调能力。全面负责物业管理相关人员的管理、监督、指导、培训、考核等工作，服从采购人的管理和考核。</w:t>
            </w:r>
          </w:p>
        </w:tc>
        <w:tc>
          <w:tcPr>
            <w:tcW w:w="1279" w:type="dxa"/>
            <w:noWrap/>
            <w:vAlign w:val="center"/>
          </w:tcPr>
          <w:p w14:paraId="25464693">
            <w:pPr>
              <w:widowControl/>
              <w:spacing w:line="360" w:lineRule="exact"/>
              <w:jc w:val="left"/>
              <w:rPr>
                <w:rFonts w:ascii="仿宋" w:hAnsi="仿宋" w:eastAsia="仿宋" w:cs="仿宋"/>
                <w:color w:val="auto"/>
                <w:highlight w:val="none"/>
              </w:rPr>
            </w:pPr>
          </w:p>
        </w:tc>
      </w:tr>
      <w:tr w14:paraId="40A17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9" w:hRule="atLeast"/>
        </w:trPr>
        <w:tc>
          <w:tcPr>
            <w:tcW w:w="2102" w:type="dxa"/>
            <w:noWrap/>
            <w:vAlign w:val="center"/>
          </w:tcPr>
          <w:p w14:paraId="3E73B19D">
            <w:pPr>
              <w:widowControl/>
              <w:spacing w:line="360" w:lineRule="exact"/>
              <w:jc w:val="center"/>
              <w:rPr>
                <w:rFonts w:ascii="仿宋" w:hAnsi="仿宋" w:eastAsia="仿宋" w:cs="仿宋"/>
                <w:bCs/>
                <w:color w:val="auto"/>
                <w:szCs w:val="24"/>
                <w:highlight w:val="none"/>
              </w:rPr>
            </w:pPr>
            <w:r>
              <w:rPr>
                <w:rFonts w:hint="eastAsia" w:ascii="仿宋" w:hAnsi="仿宋" w:eastAsia="仿宋" w:cs="仿宋"/>
                <w:color w:val="auto"/>
                <w:szCs w:val="21"/>
                <w:highlight w:val="none"/>
              </w:rPr>
              <w:t>保洁人员</w:t>
            </w:r>
          </w:p>
        </w:tc>
        <w:tc>
          <w:tcPr>
            <w:tcW w:w="4890" w:type="dxa"/>
            <w:noWrap/>
            <w:vAlign w:val="center"/>
          </w:tcPr>
          <w:p w14:paraId="29BE2B8A">
            <w:pPr>
              <w:widowControl/>
              <w:spacing w:line="360" w:lineRule="exact"/>
              <w:jc w:val="left"/>
              <w:rPr>
                <w:rFonts w:ascii="仿宋" w:hAnsi="仿宋" w:eastAsia="仿宋" w:cs="仿宋"/>
                <w:color w:val="auto"/>
                <w:highlight w:val="none"/>
              </w:rPr>
            </w:pPr>
            <w:r>
              <w:rPr>
                <w:rFonts w:hint="eastAsia" w:ascii="仿宋" w:hAnsi="仿宋" w:eastAsia="仿宋" w:cs="仿宋"/>
                <w:color w:val="auto"/>
                <w:szCs w:val="21"/>
                <w:highlight w:val="none"/>
              </w:rPr>
              <w:t>女保洁员年龄60周岁（含）以下，以身份证为准，男保洁员年龄63周岁（含）以下，以身份证为准，负责校区的保洁工作，遵守学校的相关纪律要求，品德高尚，作风正派，关心热爱学生，身心健康，吃苦耐劳。</w:t>
            </w:r>
          </w:p>
        </w:tc>
        <w:tc>
          <w:tcPr>
            <w:tcW w:w="1279" w:type="dxa"/>
            <w:noWrap/>
            <w:vAlign w:val="center"/>
          </w:tcPr>
          <w:p w14:paraId="0A866EDF">
            <w:pPr>
              <w:widowControl/>
              <w:spacing w:line="360" w:lineRule="exact"/>
              <w:rPr>
                <w:rFonts w:ascii="仿宋" w:hAnsi="仿宋" w:eastAsia="仿宋" w:cs="仿宋"/>
                <w:color w:val="auto"/>
                <w:highlight w:val="none"/>
              </w:rPr>
            </w:pPr>
          </w:p>
        </w:tc>
      </w:tr>
      <w:tr w14:paraId="3EF9F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2102" w:type="dxa"/>
            <w:noWrap/>
            <w:vAlign w:val="center"/>
          </w:tcPr>
          <w:p w14:paraId="34B0FFC1">
            <w:pPr>
              <w:widowControl/>
              <w:spacing w:line="360" w:lineRule="exact"/>
              <w:jc w:val="center"/>
              <w:rPr>
                <w:rFonts w:ascii="仿宋" w:hAnsi="仿宋" w:eastAsia="仿宋" w:cs="仿宋"/>
                <w:bCs/>
                <w:color w:val="auto"/>
                <w:szCs w:val="24"/>
                <w:highlight w:val="none"/>
              </w:rPr>
            </w:pPr>
            <w:r>
              <w:rPr>
                <w:rFonts w:hint="eastAsia" w:ascii="仿宋" w:hAnsi="仿宋" w:eastAsia="仿宋" w:cs="仿宋"/>
                <w:bCs/>
                <w:color w:val="auto"/>
                <w:szCs w:val="24"/>
                <w:highlight w:val="none"/>
              </w:rPr>
              <w:t>宿管人员</w:t>
            </w:r>
          </w:p>
        </w:tc>
        <w:tc>
          <w:tcPr>
            <w:tcW w:w="4890" w:type="dxa"/>
            <w:noWrap/>
            <w:vAlign w:val="center"/>
          </w:tcPr>
          <w:p w14:paraId="2EF3268C">
            <w:pPr>
              <w:widowControl/>
              <w:spacing w:line="360" w:lineRule="exact"/>
              <w:jc w:val="left"/>
              <w:rPr>
                <w:rFonts w:ascii="仿宋" w:hAnsi="仿宋" w:eastAsia="仿宋" w:cs="仿宋"/>
                <w:color w:val="auto"/>
                <w:highlight w:val="none"/>
              </w:rPr>
            </w:pPr>
            <w:r>
              <w:rPr>
                <w:rFonts w:hint="eastAsia" w:ascii="仿宋" w:hAnsi="仿宋" w:eastAsia="仿宋" w:cs="仿宋"/>
                <w:color w:val="auto"/>
                <w:szCs w:val="21"/>
                <w:highlight w:val="none"/>
              </w:rPr>
              <w:t>女宿管员年龄60周岁（含）以下，以身份证为准，男宿管员年龄63周岁（含）以下，女生宿舍楼宿舍管理员须为女性。</w:t>
            </w:r>
          </w:p>
        </w:tc>
        <w:tc>
          <w:tcPr>
            <w:tcW w:w="1279" w:type="dxa"/>
            <w:noWrap/>
            <w:vAlign w:val="center"/>
          </w:tcPr>
          <w:p w14:paraId="1509BA15">
            <w:pPr>
              <w:widowControl/>
              <w:spacing w:line="360" w:lineRule="exact"/>
              <w:jc w:val="left"/>
              <w:rPr>
                <w:rFonts w:ascii="仿宋" w:hAnsi="仿宋" w:eastAsia="仿宋" w:cs="仿宋"/>
                <w:color w:val="auto"/>
                <w:highlight w:val="none"/>
              </w:rPr>
            </w:pPr>
          </w:p>
        </w:tc>
      </w:tr>
      <w:tr w14:paraId="7649F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2102" w:type="dxa"/>
            <w:noWrap/>
            <w:vAlign w:val="center"/>
          </w:tcPr>
          <w:p w14:paraId="6F94DBEC">
            <w:pPr>
              <w:widowControl/>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绿化管养人员</w:t>
            </w:r>
          </w:p>
        </w:tc>
        <w:tc>
          <w:tcPr>
            <w:tcW w:w="4890" w:type="dxa"/>
            <w:noWrap/>
            <w:vAlign w:val="center"/>
          </w:tcPr>
          <w:p w14:paraId="67A0F573">
            <w:pPr>
              <w:widowControl/>
              <w:spacing w:line="3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女年龄60周岁（含）以下，以身份证为准，男年龄63周岁（含）以下，以身份证为准，负责校内绿化管养工作，遵守学校的相关纪律要求，品德高尚，作风正派，关心热爱学生，身心健康，吃苦耐劳。</w:t>
            </w:r>
          </w:p>
        </w:tc>
        <w:tc>
          <w:tcPr>
            <w:tcW w:w="1279" w:type="dxa"/>
            <w:shd w:val="clear" w:color="auto" w:fill="auto"/>
            <w:noWrap/>
            <w:vAlign w:val="center"/>
          </w:tcPr>
          <w:p w14:paraId="14085AB0">
            <w:pPr>
              <w:widowControl/>
              <w:spacing w:line="360" w:lineRule="exact"/>
              <w:jc w:val="left"/>
              <w:rPr>
                <w:rFonts w:ascii="仿宋" w:hAnsi="仿宋" w:eastAsia="仿宋" w:cs="仿宋"/>
                <w:color w:val="auto"/>
                <w:highlight w:val="none"/>
              </w:rPr>
            </w:pPr>
          </w:p>
        </w:tc>
      </w:tr>
      <w:tr w14:paraId="56D13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2102" w:type="dxa"/>
            <w:noWrap/>
            <w:vAlign w:val="center"/>
          </w:tcPr>
          <w:p w14:paraId="6A1FD440">
            <w:pPr>
              <w:widowControl/>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水电工</w:t>
            </w:r>
          </w:p>
        </w:tc>
        <w:tc>
          <w:tcPr>
            <w:tcW w:w="4890" w:type="dxa"/>
            <w:noWrap/>
            <w:vAlign w:val="center"/>
          </w:tcPr>
          <w:p w14:paraId="6A1EE7D7">
            <w:pPr>
              <w:widowControl/>
              <w:spacing w:line="3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要求男性，具有《低压电工证》，能完成以下工作。校内水电管网维护、设施设备维修更换、管道疏通、故障检修、日常检查维护等（设备、材料由采购人提供）以及校内重大活动电力保障。</w:t>
            </w:r>
          </w:p>
        </w:tc>
        <w:tc>
          <w:tcPr>
            <w:tcW w:w="1279" w:type="dxa"/>
            <w:noWrap/>
            <w:vAlign w:val="center"/>
          </w:tcPr>
          <w:p w14:paraId="7B50E93E">
            <w:pPr>
              <w:widowControl/>
              <w:spacing w:line="3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响应时间不超1小时</w:t>
            </w:r>
          </w:p>
        </w:tc>
      </w:tr>
      <w:tr w14:paraId="1E57B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2102" w:type="dxa"/>
            <w:noWrap/>
            <w:vAlign w:val="center"/>
          </w:tcPr>
          <w:p w14:paraId="58A502B9">
            <w:pPr>
              <w:widowControl/>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消防设施操作管理</w:t>
            </w:r>
          </w:p>
        </w:tc>
        <w:tc>
          <w:tcPr>
            <w:tcW w:w="4890" w:type="dxa"/>
            <w:shd w:val="clear" w:color="auto" w:fill="auto"/>
            <w:noWrap/>
          </w:tcPr>
          <w:p w14:paraId="623E1C00">
            <w:pPr>
              <w:widowControl/>
              <w:spacing w:line="3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具有《消防设施操作员证》。消防系统设施设备管理、操作；简单维修维护保养等（设备、材料由采购人提供），确保学校消防设施设备安全正常运行。</w:t>
            </w:r>
          </w:p>
        </w:tc>
        <w:tc>
          <w:tcPr>
            <w:tcW w:w="1279" w:type="dxa"/>
            <w:shd w:val="clear" w:color="auto" w:fill="auto"/>
            <w:noWrap/>
          </w:tcPr>
          <w:p w14:paraId="58D797AD">
            <w:pPr>
              <w:widowControl/>
              <w:spacing w:line="360" w:lineRule="exact"/>
              <w:jc w:val="left"/>
              <w:rPr>
                <w:rFonts w:ascii="仿宋" w:hAnsi="仿宋" w:eastAsia="仿宋" w:cs="仿宋"/>
                <w:color w:val="auto"/>
                <w:sz w:val="24"/>
                <w:szCs w:val="24"/>
                <w:highlight w:val="none"/>
              </w:rPr>
            </w:pPr>
            <w:r>
              <w:rPr>
                <w:rFonts w:hint="eastAsia" w:ascii="仿宋" w:hAnsi="仿宋" w:eastAsia="仿宋" w:cs="仿宋"/>
                <w:color w:val="auto"/>
                <w:highlight w:val="none"/>
              </w:rPr>
              <w:t>响应时间不超1小时</w:t>
            </w:r>
          </w:p>
        </w:tc>
      </w:tr>
    </w:tbl>
    <w:p w14:paraId="1CE7688C">
      <w:pPr>
        <w:pStyle w:val="20"/>
        <w:widowControl/>
        <w:spacing w:line="400" w:lineRule="exact"/>
        <w:ind w:firstLine="480"/>
        <w:jc w:val="left"/>
        <w:rPr>
          <w:rFonts w:ascii="仿宋" w:hAnsi="仿宋" w:eastAsia="仿宋" w:cs="仿宋"/>
          <w:color w:val="auto"/>
          <w:sz w:val="24"/>
          <w:szCs w:val="24"/>
          <w:highlight w:val="none"/>
        </w:rPr>
      </w:pPr>
    </w:p>
    <w:p w14:paraId="1964DC44">
      <w:pPr>
        <w:pStyle w:val="20"/>
        <w:widowControl/>
        <w:spacing w:line="400" w:lineRule="exact"/>
        <w:ind w:firstLine="48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注：1.除项目经理外，其他成员可在中标后按要求聘用相关人员，并依法签订劳动合同。所有人员进场前采购人将对其是否有违法犯罪记录进行审查，审查不通过不予留用。</w:t>
      </w:r>
      <w:r>
        <w:rPr>
          <w:rFonts w:hint="eastAsia" w:ascii="仿宋" w:hAnsi="仿宋" w:eastAsia="仿宋" w:cs="仿宋"/>
          <w:b/>
          <w:bCs/>
          <w:color w:val="auto"/>
          <w:sz w:val="24"/>
          <w:highlight w:val="none"/>
        </w:rPr>
        <w:t>所有人员均须有健康证。</w:t>
      </w:r>
      <w:r>
        <w:rPr>
          <w:rFonts w:hint="eastAsia" w:ascii="仿宋" w:hAnsi="仿宋" w:eastAsia="仿宋" w:cs="仿宋"/>
          <w:b/>
          <w:bCs/>
          <w:color w:val="auto"/>
          <w:sz w:val="24"/>
          <w:szCs w:val="24"/>
          <w:highlight w:val="none"/>
        </w:rPr>
        <w:t>中标人在中标结果公告发出之日起7日内将所有人员资料交采购人审核，以上聘用的人员经采购人审核书面同意后方可上岗。</w:t>
      </w:r>
    </w:p>
    <w:p w14:paraId="1C5B9F36">
      <w:pPr>
        <w:pStyle w:val="20"/>
        <w:widowControl/>
        <w:spacing w:line="400" w:lineRule="exact"/>
        <w:ind w:firstLine="48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2.中标人须严格按照投标文件配备项目经理，项目经理试用期为1个月，试用期满后采购人视项目经理试用期表现决定是否继续留用。如若更换，须经过采购单位书面同意后履行更换手续。</w:t>
      </w:r>
    </w:p>
    <w:p w14:paraId="14B66964">
      <w:pPr>
        <w:pStyle w:val="20"/>
        <w:widowControl/>
        <w:spacing w:line="400" w:lineRule="exact"/>
        <w:ind w:firstLine="48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3.采购方有权根据工作表现、工作需求提出更换人员，中标人需在采购方提出需求一个月内完成人员更换，并完成更换人员的费用结算。</w:t>
      </w:r>
    </w:p>
    <w:p w14:paraId="1C52970C">
      <w:pPr>
        <w:pStyle w:val="20"/>
        <w:spacing w:line="400" w:lineRule="exact"/>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如因中标人项目组成员疏忽或失职造成贵重物品被盗、毁坏或发生重大安全事故，中标人承担一切赔偿责任。履约期间，如若发生项目组成员工伤或遇项目组成员造成自身或他人人身伤亡事故及财产损失，均由中标人负责，与采购方无关。</w:t>
      </w:r>
    </w:p>
    <w:p w14:paraId="44EFE69A">
      <w:pPr>
        <w:pStyle w:val="20"/>
        <w:spacing w:line="400" w:lineRule="exact"/>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5.学生在校期间具体时间服从学校安排，周末、节假日、寒暑假期间根据学校需求安排专人值班。</w:t>
      </w:r>
    </w:p>
    <w:p w14:paraId="3E960702">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五、考核标准</w:t>
      </w:r>
    </w:p>
    <w:p w14:paraId="7D7F2CCE">
      <w:pPr>
        <w:spacing w:line="480" w:lineRule="exact"/>
        <w:ind w:firstLine="56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（一）考核办法</w:t>
      </w:r>
    </w:p>
    <w:tbl>
      <w:tblPr>
        <w:tblStyle w:val="6"/>
        <w:tblW w:w="90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9"/>
        <w:gridCol w:w="720"/>
        <w:gridCol w:w="6150"/>
        <w:gridCol w:w="1333"/>
      </w:tblGrid>
      <w:tr w14:paraId="7331D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809" w:type="dxa"/>
            <w:vAlign w:val="center"/>
          </w:tcPr>
          <w:p w14:paraId="63DC8D2D">
            <w:pPr>
              <w:widowControl/>
              <w:spacing w:line="4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项目</w:t>
            </w:r>
          </w:p>
        </w:tc>
        <w:tc>
          <w:tcPr>
            <w:tcW w:w="720" w:type="dxa"/>
            <w:vAlign w:val="center"/>
          </w:tcPr>
          <w:p w14:paraId="61F52053">
            <w:pPr>
              <w:widowControl/>
              <w:spacing w:line="4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6150" w:type="dxa"/>
            <w:vAlign w:val="center"/>
          </w:tcPr>
          <w:p w14:paraId="0866483A">
            <w:pPr>
              <w:widowControl/>
              <w:spacing w:line="4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服务事项及扣分标准</w:t>
            </w:r>
          </w:p>
        </w:tc>
        <w:tc>
          <w:tcPr>
            <w:tcW w:w="1333" w:type="dxa"/>
            <w:vAlign w:val="center"/>
          </w:tcPr>
          <w:p w14:paraId="3C1D7CE1">
            <w:pPr>
              <w:widowControl/>
              <w:spacing w:line="4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扣分</w:t>
            </w:r>
          </w:p>
        </w:tc>
      </w:tr>
      <w:tr w14:paraId="7DB68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809" w:type="dxa"/>
            <w:vMerge w:val="restart"/>
            <w:vAlign w:val="center"/>
          </w:tcPr>
          <w:p w14:paraId="6DD3643B">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人员要求</w:t>
            </w:r>
          </w:p>
        </w:tc>
        <w:tc>
          <w:tcPr>
            <w:tcW w:w="720" w:type="dxa"/>
            <w:vAlign w:val="center"/>
          </w:tcPr>
          <w:p w14:paraId="0DE2AB0A">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50" w:type="dxa"/>
            <w:vAlign w:val="center"/>
          </w:tcPr>
          <w:p w14:paraId="131073FC">
            <w:pPr>
              <w:widowControl/>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人员数量和资质符合要求，违反扣5分/次。</w:t>
            </w:r>
          </w:p>
        </w:tc>
        <w:tc>
          <w:tcPr>
            <w:tcW w:w="1333" w:type="dxa"/>
            <w:vAlign w:val="center"/>
          </w:tcPr>
          <w:p w14:paraId="38EADBF4">
            <w:pPr>
              <w:widowControl/>
              <w:spacing w:line="480" w:lineRule="exact"/>
              <w:jc w:val="center"/>
              <w:rPr>
                <w:rFonts w:ascii="仿宋" w:hAnsi="仿宋" w:eastAsia="仿宋" w:cs="仿宋"/>
                <w:color w:val="auto"/>
                <w:szCs w:val="21"/>
                <w:highlight w:val="none"/>
              </w:rPr>
            </w:pPr>
          </w:p>
        </w:tc>
      </w:tr>
      <w:tr w14:paraId="06897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809" w:type="dxa"/>
            <w:vMerge w:val="continue"/>
            <w:vAlign w:val="center"/>
          </w:tcPr>
          <w:p w14:paraId="61EC58B4">
            <w:pPr>
              <w:widowControl/>
              <w:spacing w:line="400" w:lineRule="exact"/>
              <w:jc w:val="left"/>
              <w:rPr>
                <w:rFonts w:ascii="仿宋" w:hAnsi="仿宋" w:eastAsia="仿宋" w:cs="仿宋"/>
                <w:color w:val="auto"/>
                <w:szCs w:val="21"/>
                <w:highlight w:val="none"/>
              </w:rPr>
            </w:pPr>
          </w:p>
        </w:tc>
        <w:tc>
          <w:tcPr>
            <w:tcW w:w="720" w:type="dxa"/>
            <w:vAlign w:val="center"/>
          </w:tcPr>
          <w:p w14:paraId="0C505922">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150" w:type="dxa"/>
            <w:vAlign w:val="center"/>
          </w:tcPr>
          <w:p w14:paraId="14AB085F">
            <w:pPr>
              <w:widowControl/>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工作形象良好，工作期间精神饱满、使用文明用语，不做与工作无关的事情（如聊天、吃东西、玩手机等），违反扣1分/次；严禁酒后上岗，违反扣5分/次。</w:t>
            </w:r>
          </w:p>
        </w:tc>
        <w:tc>
          <w:tcPr>
            <w:tcW w:w="1333" w:type="dxa"/>
            <w:vAlign w:val="center"/>
          </w:tcPr>
          <w:p w14:paraId="1EAD6D10">
            <w:pPr>
              <w:widowControl/>
              <w:spacing w:line="480" w:lineRule="exact"/>
              <w:jc w:val="center"/>
              <w:rPr>
                <w:rFonts w:ascii="仿宋" w:hAnsi="仿宋" w:eastAsia="仿宋" w:cs="仿宋"/>
                <w:color w:val="auto"/>
                <w:szCs w:val="21"/>
                <w:highlight w:val="none"/>
              </w:rPr>
            </w:pPr>
          </w:p>
        </w:tc>
      </w:tr>
      <w:tr w14:paraId="0E3FD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809" w:type="dxa"/>
            <w:vMerge w:val="restart"/>
            <w:vAlign w:val="center"/>
          </w:tcPr>
          <w:p w14:paraId="5F9015E9">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服务保障情况</w:t>
            </w:r>
          </w:p>
        </w:tc>
        <w:tc>
          <w:tcPr>
            <w:tcW w:w="720" w:type="dxa"/>
            <w:vAlign w:val="center"/>
          </w:tcPr>
          <w:p w14:paraId="0E27FD84">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6150" w:type="dxa"/>
            <w:vAlign w:val="center"/>
          </w:tcPr>
          <w:p w14:paraId="7081E7DB">
            <w:pPr>
              <w:widowControl/>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服务人员按时到岗到位，及时响应学校工作要求，违反扣2分/次。</w:t>
            </w:r>
          </w:p>
        </w:tc>
        <w:tc>
          <w:tcPr>
            <w:tcW w:w="1333" w:type="dxa"/>
            <w:vAlign w:val="center"/>
          </w:tcPr>
          <w:p w14:paraId="520E6907">
            <w:pPr>
              <w:widowControl/>
              <w:spacing w:line="480" w:lineRule="exact"/>
              <w:jc w:val="center"/>
              <w:rPr>
                <w:rFonts w:ascii="仿宋" w:hAnsi="仿宋" w:eastAsia="仿宋" w:cs="仿宋"/>
                <w:color w:val="auto"/>
                <w:szCs w:val="21"/>
                <w:highlight w:val="none"/>
              </w:rPr>
            </w:pPr>
          </w:p>
        </w:tc>
      </w:tr>
      <w:tr w14:paraId="3CBCE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809" w:type="dxa"/>
            <w:vMerge w:val="continue"/>
            <w:vAlign w:val="center"/>
          </w:tcPr>
          <w:p w14:paraId="1C93277E">
            <w:pPr>
              <w:widowControl/>
              <w:spacing w:line="400" w:lineRule="exact"/>
              <w:jc w:val="left"/>
              <w:rPr>
                <w:rFonts w:ascii="仿宋" w:hAnsi="仿宋" w:eastAsia="仿宋" w:cs="仿宋"/>
                <w:color w:val="auto"/>
                <w:szCs w:val="21"/>
                <w:highlight w:val="none"/>
              </w:rPr>
            </w:pPr>
          </w:p>
        </w:tc>
        <w:tc>
          <w:tcPr>
            <w:tcW w:w="720" w:type="dxa"/>
            <w:vAlign w:val="center"/>
          </w:tcPr>
          <w:p w14:paraId="28936CAD">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6150" w:type="dxa"/>
            <w:vAlign w:val="center"/>
          </w:tcPr>
          <w:p w14:paraId="011877F7">
            <w:pPr>
              <w:widowControl/>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各项服务未达到要求和标准的，每项每次扣2分。</w:t>
            </w:r>
          </w:p>
        </w:tc>
        <w:tc>
          <w:tcPr>
            <w:tcW w:w="1333" w:type="dxa"/>
            <w:vAlign w:val="center"/>
          </w:tcPr>
          <w:p w14:paraId="42280D0A">
            <w:pPr>
              <w:widowControl/>
              <w:spacing w:line="480" w:lineRule="exact"/>
              <w:jc w:val="center"/>
              <w:rPr>
                <w:rFonts w:ascii="仿宋" w:hAnsi="仿宋" w:eastAsia="仿宋" w:cs="仿宋"/>
                <w:color w:val="auto"/>
                <w:szCs w:val="21"/>
                <w:highlight w:val="none"/>
              </w:rPr>
            </w:pPr>
          </w:p>
        </w:tc>
      </w:tr>
      <w:tr w14:paraId="16CB7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809" w:type="dxa"/>
            <w:vMerge w:val="restart"/>
            <w:vAlign w:val="center"/>
          </w:tcPr>
          <w:p w14:paraId="726CD0E6">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服务效能</w:t>
            </w:r>
          </w:p>
        </w:tc>
        <w:tc>
          <w:tcPr>
            <w:tcW w:w="720" w:type="dxa"/>
            <w:vAlign w:val="center"/>
          </w:tcPr>
          <w:p w14:paraId="6E995DDF">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6150" w:type="dxa"/>
            <w:vAlign w:val="center"/>
          </w:tcPr>
          <w:p w14:paraId="4417FDF0">
            <w:pPr>
              <w:widowControl/>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对交办的任务不能按时按质按量完成、上级视察直接批评的，扣2分/次。</w:t>
            </w:r>
          </w:p>
        </w:tc>
        <w:tc>
          <w:tcPr>
            <w:tcW w:w="1333" w:type="dxa"/>
            <w:vAlign w:val="center"/>
          </w:tcPr>
          <w:p w14:paraId="31678BFF">
            <w:pPr>
              <w:widowControl/>
              <w:spacing w:line="480" w:lineRule="exact"/>
              <w:jc w:val="center"/>
              <w:rPr>
                <w:rFonts w:ascii="仿宋" w:hAnsi="仿宋" w:eastAsia="仿宋" w:cs="仿宋"/>
                <w:color w:val="auto"/>
                <w:szCs w:val="21"/>
                <w:highlight w:val="none"/>
              </w:rPr>
            </w:pPr>
          </w:p>
        </w:tc>
      </w:tr>
      <w:tr w14:paraId="33AEC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809" w:type="dxa"/>
            <w:vMerge w:val="continue"/>
            <w:vAlign w:val="center"/>
          </w:tcPr>
          <w:p w14:paraId="4C9E6763">
            <w:pPr>
              <w:widowControl/>
              <w:spacing w:line="400" w:lineRule="exact"/>
              <w:jc w:val="center"/>
              <w:rPr>
                <w:rFonts w:ascii="仿宋" w:hAnsi="仿宋" w:eastAsia="仿宋" w:cs="仿宋"/>
                <w:color w:val="auto"/>
                <w:szCs w:val="21"/>
                <w:highlight w:val="none"/>
              </w:rPr>
            </w:pPr>
          </w:p>
        </w:tc>
        <w:tc>
          <w:tcPr>
            <w:tcW w:w="720" w:type="dxa"/>
            <w:vAlign w:val="center"/>
          </w:tcPr>
          <w:p w14:paraId="3D0DE2EB">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6150" w:type="dxa"/>
            <w:vAlign w:val="center"/>
          </w:tcPr>
          <w:p w14:paraId="3B73445D">
            <w:pPr>
              <w:widowControl/>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因工作失职，致使服务区域出现财产损失的扣10分/次。</w:t>
            </w:r>
          </w:p>
        </w:tc>
        <w:tc>
          <w:tcPr>
            <w:tcW w:w="1333" w:type="dxa"/>
            <w:vAlign w:val="center"/>
          </w:tcPr>
          <w:p w14:paraId="5FB0980F">
            <w:pPr>
              <w:widowControl/>
              <w:spacing w:line="480" w:lineRule="exact"/>
              <w:jc w:val="center"/>
              <w:rPr>
                <w:rFonts w:ascii="仿宋" w:hAnsi="仿宋" w:eastAsia="仿宋" w:cs="仿宋"/>
                <w:color w:val="auto"/>
                <w:szCs w:val="21"/>
                <w:highlight w:val="none"/>
              </w:rPr>
            </w:pPr>
          </w:p>
        </w:tc>
      </w:tr>
      <w:tr w14:paraId="48407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809" w:type="dxa"/>
            <w:vMerge w:val="restart"/>
            <w:vAlign w:val="center"/>
          </w:tcPr>
          <w:p w14:paraId="054EFACB">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奖惩</w:t>
            </w:r>
          </w:p>
          <w:p w14:paraId="10EF2805">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事项</w:t>
            </w:r>
          </w:p>
        </w:tc>
        <w:tc>
          <w:tcPr>
            <w:tcW w:w="720" w:type="dxa"/>
            <w:vAlign w:val="center"/>
          </w:tcPr>
          <w:p w14:paraId="1A2FD242">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6150" w:type="dxa"/>
            <w:vAlign w:val="center"/>
          </w:tcPr>
          <w:p w14:paraId="6E79C01E">
            <w:pPr>
              <w:widowControl/>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因做好人好事受到群众表扬并收到表扬信、锦旗等，奖5分/次。</w:t>
            </w:r>
          </w:p>
        </w:tc>
        <w:tc>
          <w:tcPr>
            <w:tcW w:w="1333" w:type="dxa"/>
            <w:vAlign w:val="center"/>
          </w:tcPr>
          <w:p w14:paraId="6D5702A5">
            <w:pPr>
              <w:widowControl/>
              <w:spacing w:line="480" w:lineRule="exact"/>
              <w:jc w:val="center"/>
              <w:rPr>
                <w:rFonts w:ascii="仿宋" w:hAnsi="仿宋" w:eastAsia="仿宋" w:cs="仿宋"/>
                <w:color w:val="auto"/>
                <w:szCs w:val="21"/>
                <w:highlight w:val="none"/>
              </w:rPr>
            </w:pPr>
          </w:p>
        </w:tc>
      </w:tr>
      <w:tr w14:paraId="298DB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809" w:type="dxa"/>
            <w:vMerge w:val="continue"/>
            <w:vAlign w:val="center"/>
          </w:tcPr>
          <w:p w14:paraId="6A2EF7E0">
            <w:pPr>
              <w:widowControl/>
              <w:spacing w:line="400" w:lineRule="exact"/>
              <w:jc w:val="center"/>
              <w:rPr>
                <w:rFonts w:ascii="仿宋" w:hAnsi="仿宋" w:eastAsia="仿宋" w:cs="仿宋"/>
                <w:color w:val="auto"/>
                <w:szCs w:val="21"/>
                <w:highlight w:val="none"/>
              </w:rPr>
            </w:pPr>
          </w:p>
        </w:tc>
        <w:tc>
          <w:tcPr>
            <w:tcW w:w="720" w:type="dxa"/>
            <w:vAlign w:val="center"/>
          </w:tcPr>
          <w:p w14:paraId="3F83A8B2">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6150" w:type="dxa"/>
            <w:vAlign w:val="center"/>
          </w:tcPr>
          <w:p w14:paraId="4112E0C0">
            <w:pPr>
              <w:widowControl/>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文明服务意识差、受到投诉或上级检查产生不良影响的、不能及时制止影响服务对象形象或环境的行为，扣2分/次。</w:t>
            </w:r>
          </w:p>
        </w:tc>
        <w:tc>
          <w:tcPr>
            <w:tcW w:w="1333" w:type="dxa"/>
            <w:vAlign w:val="center"/>
          </w:tcPr>
          <w:p w14:paraId="36799E7B">
            <w:pPr>
              <w:widowControl/>
              <w:spacing w:line="480" w:lineRule="exact"/>
              <w:jc w:val="center"/>
              <w:rPr>
                <w:rFonts w:ascii="仿宋" w:hAnsi="仿宋" w:eastAsia="仿宋" w:cs="仿宋"/>
                <w:color w:val="auto"/>
                <w:szCs w:val="21"/>
                <w:highlight w:val="none"/>
              </w:rPr>
            </w:pPr>
          </w:p>
        </w:tc>
      </w:tr>
      <w:tr w14:paraId="4F7EE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9012" w:type="dxa"/>
            <w:gridSpan w:val="4"/>
            <w:vAlign w:val="center"/>
          </w:tcPr>
          <w:p w14:paraId="5820E387">
            <w:pPr>
              <w:widowControl/>
              <w:spacing w:line="480" w:lineRule="exact"/>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实际考评得分：分</w:t>
            </w:r>
          </w:p>
        </w:tc>
      </w:tr>
    </w:tbl>
    <w:p w14:paraId="54568DC9">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六、设备、工具、</w:t>
      </w:r>
      <w:r>
        <w:rPr>
          <w:rFonts w:hint="eastAsia" w:ascii="仿宋" w:hAnsi="仿宋" w:eastAsia="仿宋" w:cs="仿宋"/>
          <w:bCs/>
          <w:color w:val="auto"/>
          <w:szCs w:val="32"/>
          <w:highlight w:val="none"/>
          <w:lang w:val="zh-CN"/>
        </w:rPr>
        <w:t>服装要求</w:t>
      </w:r>
    </w:p>
    <w:p w14:paraId="2B422071">
      <w:pPr>
        <w:spacing w:line="440" w:lineRule="exact"/>
        <w:ind w:firstLine="482"/>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保洁方面，保洁所需工具和清洁用品由采购人承担，劳保用品（服装、口罩、手套、胶鞋、工牌等）由中标方承担</w:t>
      </w:r>
      <w:r>
        <w:rPr>
          <w:rFonts w:hint="eastAsia" w:ascii="仿宋" w:hAnsi="仿宋" w:eastAsia="仿宋" w:cs="仿宋"/>
          <w:color w:val="auto"/>
          <w:sz w:val="24"/>
          <w:szCs w:val="24"/>
          <w:highlight w:val="none"/>
          <w:lang w:val="zh-CN"/>
        </w:rPr>
        <w:t>。</w:t>
      </w:r>
    </w:p>
    <w:p w14:paraId="201F17A7">
      <w:pPr>
        <w:spacing w:line="440" w:lineRule="exact"/>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2、绿化方面，绿化管养所需工具及耗材（包含机械设备、工具、汽油、农药）由中标单位承担。</w:t>
      </w:r>
    </w:p>
    <w:p w14:paraId="513E271F">
      <w:pPr>
        <w:spacing w:line="440" w:lineRule="exact"/>
        <w:ind w:firstLine="482"/>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、人员服装要求，保持良好的服务精神面貌，项目组成员（除项目经理外）应着装统一制服，服装整洁合体，穿戴整齐，佩戴工号牌或工作证。</w:t>
      </w:r>
    </w:p>
    <w:p w14:paraId="349A2104">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七、进退场交接方案及要求</w:t>
      </w:r>
    </w:p>
    <w:p w14:paraId="3A3CDC41">
      <w:pPr>
        <w:spacing w:line="440" w:lineRule="exact"/>
        <w:ind w:firstLine="482"/>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进退场交接方案：投标人提供针对本项目特点的进退场交接方案，制定项目交接时间进度安排、具体交接的内容、交接重点难点分析及解决方案，确保项目平稳过渡和正常运行。</w:t>
      </w:r>
    </w:p>
    <w:p w14:paraId="17B09E72">
      <w:pPr>
        <w:spacing w:line="440" w:lineRule="exact"/>
        <w:ind w:firstLine="482"/>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新物业服务企业在进场前对</w:t>
      </w:r>
      <w:r>
        <w:rPr>
          <w:rFonts w:hint="eastAsia" w:ascii="仿宋" w:hAnsi="仿宋" w:eastAsia="仿宋" w:cs="仿宋"/>
          <w:color w:val="auto"/>
          <w:sz w:val="24"/>
          <w:szCs w:val="24"/>
          <w:highlight w:val="none"/>
        </w:rPr>
        <w:t>学校</w:t>
      </w:r>
      <w:r>
        <w:rPr>
          <w:rFonts w:hint="eastAsia" w:ascii="仿宋" w:hAnsi="仿宋" w:eastAsia="仿宋" w:cs="仿宋"/>
          <w:color w:val="auto"/>
          <w:sz w:val="24"/>
          <w:szCs w:val="24"/>
          <w:highlight w:val="none"/>
          <w:lang w:val="zh-CN"/>
        </w:rPr>
        <w:t>进行全面勘查，了解设施设备、环境、安全等情况。</w:t>
      </w:r>
    </w:p>
    <w:p w14:paraId="11466DD1">
      <w:pPr>
        <w:spacing w:line="440" w:lineRule="exact"/>
        <w:ind w:firstLine="482"/>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新物业服务企业应对员工进行岗前培训，确保熟悉</w:t>
      </w:r>
      <w:r>
        <w:rPr>
          <w:rFonts w:hint="eastAsia" w:ascii="仿宋" w:hAnsi="仿宋" w:eastAsia="仿宋" w:cs="仿宋"/>
          <w:color w:val="auto"/>
          <w:sz w:val="24"/>
          <w:szCs w:val="24"/>
          <w:highlight w:val="none"/>
        </w:rPr>
        <w:t>学校</w:t>
      </w:r>
      <w:r>
        <w:rPr>
          <w:rFonts w:hint="eastAsia" w:ascii="仿宋" w:hAnsi="仿宋" w:eastAsia="仿宋" w:cs="仿宋"/>
          <w:color w:val="auto"/>
          <w:sz w:val="24"/>
          <w:szCs w:val="24"/>
          <w:highlight w:val="none"/>
          <w:lang w:val="zh-CN"/>
        </w:rPr>
        <w:t>的管理制度和服务标准。</w:t>
      </w:r>
    </w:p>
    <w:p w14:paraId="05A9784C">
      <w:pPr>
        <w:spacing w:line="440" w:lineRule="exact"/>
        <w:ind w:firstLine="482"/>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退场物业服务企业应整理好所有相关资料，包括设备档案、维修记录、合同等。</w:t>
      </w:r>
    </w:p>
    <w:p w14:paraId="0803B17E">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八、重大活动保障</w:t>
      </w:r>
    </w:p>
    <w:p w14:paraId="4E7A7F31">
      <w:pPr>
        <w:spacing w:line="440" w:lineRule="exact"/>
        <w:ind w:firstLine="48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（1）制订流程。配合采购人制订重大活动后勤保障工作流程，需对任务进行详细了解，并根据工作安排制定详细的后勤保障计划。</w:t>
      </w:r>
    </w:p>
    <w:p w14:paraId="59175D0D">
      <w:pPr>
        <w:spacing w:line="440" w:lineRule="exact"/>
        <w:ind w:firstLine="48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（2）实施保障。按</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val="zh-CN"/>
        </w:rPr>
        <w:t>在关键区域和重点部位</w:t>
      </w:r>
      <w:r>
        <w:rPr>
          <w:rFonts w:hint="eastAsia" w:ascii="仿宋" w:hAnsi="仿宋" w:eastAsia="仿宋" w:cs="仿宋"/>
          <w:color w:val="auto"/>
          <w:sz w:val="24"/>
          <w:szCs w:val="24"/>
          <w:highlight w:val="none"/>
        </w:rPr>
        <w:t>做好环境保洁及水电保障工作</w:t>
      </w:r>
      <w:r>
        <w:rPr>
          <w:rFonts w:hint="eastAsia" w:ascii="仿宋" w:hAnsi="仿宋" w:eastAsia="仿宋" w:cs="仿宋"/>
          <w:color w:val="auto"/>
          <w:sz w:val="24"/>
          <w:szCs w:val="24"/>
          <w:highlight w:val="none"/>
          <w:lang w:val="zh-CN"/>
        </w:rPr>
        <w:t>，确保任务顺利进行，对活动区域进行全面安全检查，发现并排除安全隐患，以礼貌、专业的态度对待来宾，展现良好形象。</w:t>
      </w:r>
    </w:p>
    <w:p w14:paraId="0FE30949">
      <w:pPr>
        <w:spacing w:line="440" w:lineRule="exact"/>
        <w:ind w:firstLine="480"/>
        <w:rPr>
          <w:rFonts w:ascii="仿宋" w:hAnsi="仿宋" w:eastAsia="仿宋" w:cs="仿宋"/>
          <w:bCs/>
          <w:color w:val="auto"/>
          <w:szCs w:val="32"/>
          <w:highlight w:val="none"/>
        </w:rPr>
      </w:pPr>
      <w:r>
        <w:rPr>
          <w:rFonts w:hint="eastAsia" w:ascii="仿宋" w:hAnsi="仿宋" w:eastAsia="仿宋" w:cs="仿宋"/>
          <w:color w:val="auto"/>
          <w:sz w:val="24"/>
          <w:szCs w:val="24"/>
          <w:highlight w:val="none"/>
          <w:lang w:val="zh-CN"/>
        </w:rPr>
        <w:t>（3）收尾工作。对现场进行检查，做好清理工作。</w:t>
      </w:r>
    </w:p>
    <w:p w14:paraId="31BC70F4">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九、报价要求</w:t>
      </w:r>
    </w:p>
    <w:p w14:paraId="45E7A325">
      <w:pPr>
        <w:widowControl/>
        <w:ind w:firstLine="480"/>
        <w:jc w:val="left"/>
        <w:rPr>
          <w:rFonts w:ascii="仿宋" w:hAnsi="仿宋" w:eastAsia="仿宋" w:cs="仿宋"/>
          <w:color w:val="auto"/>
          <w:sz w:val="24"/>
          <w:szCs w:val="24"/>
          <w:highlight w:val="none"/>
          <w:lang w:val="zh-CN"/>
        </w:rPr>
      </w:pPr>
    </w:p>
    <w:p w14:paraId="50C42FE8">
      <w:pPr>
        <w:spacing w:line="440" w:lineRule="exact"/>
        <w:ind w:firstLine="48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1、投标人按照本项目特点编制投标分项报价表，内容主要包含完成本项工作所需的人员工资（不得低于宿迁市现行最低工资标准）及加班费（含节假日）等补助和福利费、耗材费、人员服装、</w:t>
      </w:r>
      <w:r>
        <w:rPr>
          <w:rFonts w:hint="eastAsia" w:ascii="仿宋" w:hAnsi="仿宋" w:eastAsia="仿宋" w:cs="仿宋"/>
          <w:color w:val="auto"/>
          <w:sz w:val="24"/>
          <w:szCs w:val="24"/>
          <w:highlight w:val="none"/>
        </w:rPr>
        <w:t>给符合缴纳社保成员缴纳全额社保、全员全额意外险（或雇主责任险）</w:t>
      </w:r>
      <w:r>
        <w:rPr>
          <w:rFonts w:hint="eastAsia" w:ascii="仿宋" w:hAnsi="仿宋" w:eastAsia="仿宋" w:cs="仿宋"/>
          <w:color w:val="auto"/>
          <w:sz w:val="24"/>
          <w:szCs w:val="24"/>
          <w:highlight w:val="none"/>
          <w:lang w:val="zh-CN"/>
        </w:rPr>
        <w:t>、税金、利润、政策性调整引起的成本上升风险以及为完成物业服务管理工作所涉及到的一切所有费用，采购人在上述价款之外不再支付其他任何费用。</w:t>
      </w:r>
    </w:p>
    <w:p w14:paraId="539417CB">
      <w:pPr>
        <w:spacing w:line="440" w:lineRule="exact"/>
        <w:ind w:firstLine="48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、投标人应在投标分项报价表中为项目组所有成员填报、购买意外险（或雇主责任险）。否则，按无效标处理。</w:t>
      </w:r>
    </w:p>
    <w:p w14:paraId="1FC8208B">
      <w:pPr>
        <w:spacing w:line="440" w:lineRule="exact"/>
        <w:ind w:firstLine="48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3、投标人应在投标分项报价表中为项目负责人，全额填报、购买社保，否则，按无效标处理。</w:t>
      </w:r>
    </w:p>
    <w:p w14:paraId="4096DF85">
      <w:pPr>
        <w:pStyle w:val="27"/>
        <w:widowControl/>
        <w:spacing w:line="500" w:lineRule="exact"/>
        <w:ind w:firstLine="480"/>
        <w:jc w:val="left"/>
        <w:rPr>
          <w:rFonts w:ascii="宋体" w:hAnsi="宋体" w:cs="宋体"/>
          <w:color w:val="auto"/>
          <w:szCs w:val="24"/>
          <w:highlight w:val="none"/>
        </w:rPr>
      </w:pPr>
      <w:r>
        <w:rPr>
          <w:rFonts w:hint="eastAsia" w:ascii="宋体" w:hAnsi="宋体" w:cs="宋体"/>
          <w:color w:val="auto"/>
          <w:szCs w:val="24"/>
          <w:highlight w:val="none"/>
        </w:rPr>
        <w:t>下表为宿迁市社保最低缴纳标准，投标人应按不低于此标准报价。社保缴纳应当符合行政主管部门相关规定。如遇政策调整，投标人自行承担。</w:t>
      </w:r>
    </w:p>
    <w:tbl>
      <w:tblPr>
        <w:tblStyle w:val="6"/>
        <w:tblW w:w="8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6"/>
        <w:gridCol w:w="1721"/>
        <w:gridCol w:w="6167"/>
      </w:tblGrid>
      <w:tr w14:paraId="7B5B9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46" w:type="dxa"/>
            <w:vAlign w:val="center"/>
          </w:tcPr>
          <w:p w14:paraId="1436551E">
            <w:pPr>
              <w:pStyle w:val="20"/>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721" w:type="dxa"/>
            <w:vAlign w:val="center"/>
          </w:tcPr>
          <w:p w14:paraId="68C0C5B3">
            <w:pPr>
              <w:pStyle w:val="20"/>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名称</w:t>
            </w:r>
          </w:p>
        </w:tc>
        <w:tc>
          <w:tcPr>
            <w:tcW w:w="6167" w:type="dxa"/>
            <w:vAlign w:val="center"/>
          </w:tcPr>
          <w:p w14:paraId="2CDF69D4">
            <w:pPr>
              <w:pStyle w:val="20"/>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计算公式</w:t>
            </w:r>
          </w:p>
        </w:tc>
      </w:tr>
      <w:tr w14:paraId="2A3A9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jc w:val="center"/>
        </w:trPr>
        <w:tc>
          <w:tcPr>
            <w:tcW w:w="946" w:type="dxa"/>
            <w:vAlign w:val="center"/>
          </w:tcPr>
          <w:p w14:paraId="2AB7801E">
            <w:pPr>
              <w:pStyle w:val="20"/>
              <w:spacing w:line="500" w:lineRule="exact"/>
              <w:ind w:firstLine="241"/>
              <w:jc w:val="left"/>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721" w:type="dxa"/>
            <w:vAlign w:val="center"/>
          </w:tcPr>
          <w:p w14:paraId="783425D6">
            <w:pPr>
              <w:pStyle w:val="20"/>
              <w:spacing w:line="5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单位社保缴纳标准及费用</w:t>
            </w:r>
          </w:p>
        </w:tc>
        <w:tc>
          <w:tcPr>
            <w:tcW w:w="6167" w:type="dxa"/>
            <w:vAlign w:val="center"/>
          </w:tcPr>
          <w:p w14:paraId="406309F3">
            <w:pPr>
              <w:pStyle w:val="20"/>
              <w:spacing w:line="5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缴费基数（≥4879）*【16%（养老保险）＋0.5%（失业险）＋7%（医疗保险）＋1%（生育险）+0.4%（工伤险）】+5</w:t>
            </w:r>
          </w:p>
        </w:tc>
      </w:tr>
    </w:tbl>
    <w:p w14:paraId="2D2FC608">
      <w:pPr>
        <w:spacing w:line="440" w:lineRule="exact"/>
        <w:ind w:firstLine="480"/>
        <w:rPr>
          <w:rFonts w:ascii="仿宋" w:hAnsi="仿宋" w:eastAsia="仿宋" w:cs="仿宋"/>
          <w:color w:val="auto"/>
          <w:sz w:val="24"/>
          <w:szCs w:val="24"/>
          <w:highlight w:val="none"/>
          <w:lang w:val="zh-CN"/>
        </w:rPr>
      </w:pPr>
      <w:r>
        <w:rPr>
          <w:rFonts w:hint="eastAsia" w:ascii="宋体" w:hAnsi="宋体" w:cs="宋体"/>
          <w:b/>
          <w:iCs/>
          <w:color w:val="auto"/>
          <w:szCs w:val="24"/>
          <w:highlight w:val="none"/>
          <w:lang w:bidi="zh-CN"/>
        </w:rPr>
        <w:t>注:社保金额≥1219.871(4879*24.9%+5)，因报价最多保留至小数点后两位，故该项最小有效数值为 1219.88元，例如：（1）某岗位人员月工资4500元，社保金额则为4879*24.9%+5=1219.88元；（2）某岗位人员月工资10000元，社保金额则为10000*24.9%+5=2495元。</w:t>
      </w:r>
    </w:p>
    <w:p w14:paraId="3077EC18">
      <w:pPr>
        <w:spacing w:line="440" w:lineRule="exact"/>
        <w:ind w:firstLine="48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4、为保证服务队伍的整体素质和相对稳定性，投标人应充分考虑管理和服务人员的工资待遇。投标人要综合考虑宿迁劳动市场因素，激发员工积极性，不同岗位合理分配工资。</w:t>
      </w:r>
    </w:p>
    <w:p w14:paraId="34F54610">
      <w:pPr>
        <w:pStyle w:val="27"/>
        <w:widowControl/>
        <w:spacing w:line="440" w:lineRule="exact"/>
        <w:ind w:firstLine="482"/>
        <w:jc w:val="left"/>
        <w:rPr>
          <w:rFonts w:ascii="仿宋" w:hAnsi="仿宋" w:eastAsia="仿宋" w:cs="仿宋"/>
          <w:bCs/>
          <w:i/>
          <w:color w:val="auto"/>
          <w:szCs w:val="24"/>
          <w:highlight w:val="none"/>
          <w:u w:val="single"/>
          <w:lang w:bidi="zh-CN"/>
        </w:rPr>
      </w:pPr>
      <w:r>
        <w:rPr>
          <w:rFonts w:hint="eastAsia" w:ascii="仿宋" w:hAnsi="仿宋" w:eastAsia="仿宋" w:cs="仿宋"/>
          <w:bCs/>
          <w:i/>
          <w:color w:val="auto"/>
          <w:szCs w:val="24"/>
          <w:highlight w:val="none"/>
          <w:u w:val="single"/>
          <w:lang w:bidi="zh-CN"/>
        </w:rPr>
        <w:t>人员工资不得低于宿迁市目前最低工资标准，即按《关于调整全市最低工资标准的通知》（宿人社发〔2024〕1号）政策执行，否则按无效标处理。</w:t>
      </w:r>
    </w:p>
    <w:p w14:paraId="48261740">
      <w:pPr>
        <w:pStyle w:val="27"/>
        <w:widowControl/>
        <w:spacing w:line="440" w:lineRule="exact"/>
        <w:ind w:firstLine="482"/>
        <w:jc w:val="left"/>
        <w:rPr>
          <w:rStyle w:val="9"/>
          <w:rFonts w:ascii="仿宋" w:hAnsi="仿宋" w:eastAsia="仿宋" w:cs="仿宋"/>
          <w:color w:val="auto"/>
          <w:sz w:val="24"/>
          <w:szCs w:val="24"/>
          <w:highlight w:val="none"/>
        </w:rPr>
      </w:pPr>
      <w:r>
        <w:rPr>
          <w:rFonts w:hint="eastAsia" w:ascii="仿宋" w:hAnsi="仿宋" w:eastAsia="仿宋" w:cs="仿宋"/>
          <w:color w:val="auto"/>
          <w:szCs w:val="24"/>
          <w:highlight w:val="none"/>
        </w:rPr>
        <w:t>5、</w:t>
      </w:r>
      <w:r>
        <w:rPr>
          <w:rStyle w:val="9"/>
          <w:rFonts w:hint="eastAsia" w:ascii="仿宋" w:hAnsi="仿宋" w:eastAsia="仿宋" w:cs="仿宋"/>
          <w:color w:val="auto"/>
          <w:sz w:val="24"/>
          <w:szCs w:val="24"/>
          <w:highlight w:val="none"/>
        </w:rPr>
        <w:t>项目履约过程中，项目所需工具、设备、物耗等均由中标人提供，投标文件中必须提供能满足服务要求所配置的工具、设备明细表，并在物耗明细表中列明，如在服务期内，中标人提供工具、设备、物耗等质量不符合采购人要求的，应按采购人要求无条件更换。</w:t>
      </w:r>
    </w:p>
    <w:p w14:paraId="4518442D">
      <w:pPr>
        <w:pStyle w:val="20"/>
        <w:widowControl/>
        <w:spacing w:line="440" w:lineRule="exact"/>
        <w:ind w:firstLine="480" w:firstLineChars="200"/>
        <w:jc w:val="left"/>
        <w:rPr>
          <w:rFonts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6、项目履约过程中，中标人应根据工作需要，安排好双休日及节假日的值班人员，编制各岗位排班表报采购人备案后执行，所涉及的费用，包含在此次报价中。</w:t>
      </w:r>
    </w:p>
    <w:p w14:paraId="7E966D01">
      <w:pPr>
        <w:pStyle w:val="20"/>
        <w:widowControl/>
        <w:spacing w:line="440" w:lineRule="exact"/>
        <w:ind w:left="482"/>
        <w:jc w:val="left"/>
        <w:rPr>
          <w:rFonts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7、中标单位须于每月15日前将人员工资支付到位凭证报采购人备案。</w:t>
      </w:r>
    </w:p>
    <w:p w14:paraId="10F4ACC3">
      <w:pPr>
        <w:pStyle w:val="20"/>
        <w:widowControl/>
        <w:spacing w:line="440" w:lineRule="exact"/>
        <w:ind w:firstLine="482"/>
        <w:jc w:val="left"/>
        <w:rPr>
          <w:rFonts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8、其他物业管理服务质量要求按江苏省、宿迁市有关标准及采购需求执行，涉及费用均包含在本次投标报价中。</w:t>
      </w:r>
    </w:p>
    <w:p w14:paraId="33309875">
      <w:pPr>
        <w:pStyle w:val="28"/>
        <w:spacing w:line="440" w:lineRule="exact"/>
        <w:ind w:firstLine="482"/>
        <w:rPr>
          <w:rFonts w:ascii="仿宋" w:hAnsi="仿宋" w:eastAsia="仿宋" w:cs="仿宋"/>
          <w:color w:val="auto"/>
          <w:sz w:val="24"/>
          <w:highlight w:val="none"/>
          <w:lang w:bidi="zh-CN"/>
        </w:rPr>
      </w:pPr>
      <w:r>
        <w:rPr>
          <w:rFonts w:hint="eastAsia" w:ascii="仿宋" w:hAnsi="仿宋" w:eastAsia="仿宋" w:cs="仿宋"/>
          <w:color w:val="auto"/>
          <w:sz w:val="24"/>
          <w:highlight w:val="none"/>
          <w:lang w:bidi="zh-CN"/>
        </w:rPr>
        <w:t>9、投标人结合对采购需求与预算的理解，结合物业服务市场价格，根据不同岗位员工工资、加班补助、劳保福利、保险、耗材等费用，根据明细报价表中所列的各项费用，提供服务费用分配方案和费用测算分析说明。在保障服务要求的基础上，采取措施激励合同履行人员，提高履约质量。</w:t>
      </w:r>
    </w:p>
    <w:p w14:paraId="2B73CBCA">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十、付款方式</w:t>
      </w:r>
    </w:p>
    <w:p w14:paraId="3ABC38A0">
      <w:pPr>
        <w:spacing w:line="560" w:lineRule="exact"/>
        <w:ind w:firstLine="480"/>
        <w:rPr>
          <w:rFonts w:ascii="仿宋" w:hAnsi="仿宋" w:eastAsia="仿宋" w:cs="仿宋"/>
          <w:color w:val="auto"/>
          <w:sz w:val="24"/>
          <w:szCs w:val="24"/>
          <w:highlight w:val="none"/>
        </w:rPr>
      </w:pPr>
      <w:bookmarkStart w:id="14" w:name="OLE_LINK5"/>
      <w:bookmarkStart w:id="15" w:name="OLE_LINK6"/>
      <w:r>
        <w:rPr>
          <w:rFonts w:hint="eastAsia" w:ascii="仿宋" w:hAnsi="仿宋" w:eastAsia="仿宋" w:cs="仿宋"/>
          <w:color w:val="auto"/>
          <w:spacing w:val="-2"/>
          <w:sz w:val="24"/>
          <w:szCs w:val="24"/>
          <w:highlight w:val="none"/>
        </w:rPr>
        <w:t>1</w:t>
      </w:r>
      <w:r>
        <w:rPr>
          <w:rFonts w:hint="eastAsia" w:ascii="仿宋" w:hAnsi="仿宋" w:eastAsia="仿宋" w:cs="仿宋"/>
          <w:color w:val="auto"/>
          <w:sz w:val="24"/>
          <w:szCs w:val="24"/>
          <w:highlight w:val="none"/>
        </w:rPr>
        <w:t>、预付款：采购人约定在合同签订后，采购人在接到中标人票据的10个工作日内，支付合同金额的10%作为预付款。</w:t>
      </w:r>
    </w:p>
    <w:p w14:paraId="5546BAA6">
      <w:pPr>
        <w:pStyle w:val="31"/>
        <w:spacing w:after="0" w:line="560" w:lineRule="exact"/>
        <w:ind w:firstLine="48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进度款：采购人按季支付物业服务费，中标人按季根据实际发生的所有物业管理（考核后的）费用开具合法票据，并提供工人工资支付凭证，采购人在接受中标人票据和凭证后的10个工作日内将上一季实际发生的所有物业管理（考核后的）费用支付给中标人。</w:t>
      </w:r>
    </w:p>
    <w:p w14:paraId="13EBF109">
      <w:pPr>
        <w:spacing w:line="440" w:lineRule="exact"/>
        <w:ind w:firstLine="56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注：在签订合同时，供应商明确表示无需预付款或者主动要求降低预付款比例的，采购人可不适用前述规定。</w:t>
      </w:r>
      <w:bookmarkEnd w:id="14"/>
      <w:bookmarkEnd w:id="15"/>
    </w:p>
    <w:p w14:paraId="5F741D93">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十一、款项支付相关要求</w:t>
      </w:r>
    </w:p>
    <w:p w14:paraId="6F584EA3">
      <w:pPr>
        <w:pStyle w:val="23"/>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按照中标人实际投入人员数量及各单项人均费用并经考核完成后据实结算。中标人未按要求向采购人提供发票的，采购人有权不予付款，直至发票按要求提供正确为止。且采购人有权从应付款项中直接扣除应由中标人承担的违约金及其他相关款项。</w:t>
      </w:r>
    </w:p>
    <w:p w14:paraId="6C8BBC74">
      <w:pPr>
        <w:pStyle w:val="23"/>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 每季度开展1次考核评价，到期按采购方出具的考核结果据实支付，其中服务费用的80%作为基本服务费用，20%作为考核费用。考核成绩在95分以上（含95分）全额支付当期全部服务费用；</w:t>
      </w:r>
    </w:p>
    <w:p w14:paraId="0485A2C8">
      <w:pPr>
        <w:pStyle w:val="23"/>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考核成绩在90-95分（含90分）之间的，当期服务费用为：基本服务费用+[（实际得分）/100]*考核费用；</w:t>
      </w:r>
    </w:p>
    <w:p w14:paraId="6B25D739">
      <w:pPr>
        <w:pStyle w:val="23"/>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考核成绩在80-90分（含80分）之间的，当期服务费用为基本服务费用+[1-2*（100-实际得分）/100]*考核费用；</w:t>
      </w:r>
    </w:p>
    <w:p w14:paraId="56D0A8CE">
      <w:pPr>
        <w:pStyle w:val="23"/>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考核成绩在80分以下为不合格，当期服务费用为基本服务费用。</w:t>
      </w:r>
    </w:p>
    <w:p w14:paraId="13404BFB">
      <w:pPr>
        <w:pStyle w:val="23"/>
        <w:spacing w:line="440" w:lineRule="exact"/>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3．中标人向采购人提交符合要求的发票，同时提供人员工资支付明细证明。</w:t>
      </w:r>
    </w:p>
    <w:p w14:paraId="0C4C0EC8">
      <w:pPr>
        <w:rPr>
          <w:rFonts w:ascii="仿宋" w:hAnsi="仿宋" w:eastAsia="仿宋" w:cs="仿宋"/>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98C5B"/>
    <w:multiLevelType w:val="singleLevel"/>
    <w:tmpl w:val="AFD98C5B"/>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51D3"/>
    <w:rsid w:val="000110ED"/>
    <w:rsid w:val="00032E9A"/>
    <w:rsid w:val="0007327E"/>
    <w:rsid w:val="00077FB7"/>
    <w:rsid w:val="000E0182"/>
    <w:rsid w:val="001012A3"/>
    <w:rsid w:val="001309DB"/>
    <w:rsid w:val="00137346"/>
    <w:rsid w:val="00184D78"/>
    <w:rsid w:val="00285B41"/>
    <w:rsid w:val="002951D3"/>
    <w:rsid w:val="00296EF1"/>
    <w:rsid w:val="002C4CD8"/>
    <w:rsid w:val="002F6295"/>
    <w:rsid w:val="00541740"/>
    <w:rsid w:val="00641C03"/>
    <w:rsid w:val="00684490"/>
    <w:rsid w:val="00721013"/>
    <w:rsid w:val="007A1C85"/>
    <w:rsid w:val="00936276"/>
    <w:rsid w:val="009D2D0C"/>
    <w:rsid w:val="00A55E46"/>
    <w:rsid w:val="00AD51E9"/>
    <w:rsid w:val="00B1706A"/>
    <w:rsid w:val="00C152DE"/>
    <w:rsid w:val="00C3135A"/>
    <w:rsid w:val="00C31D46"/>
    <w:rsid w:val="00C34A42"/>
    <w:rsid w:val="00C61141"/>
    <w:rsid w:val="00CA6542"/>
    <w:rsid w:val="00DF094B"/>
    <w:rsid w:val="00E961D1"/>
    <w:rsid w:val="00ED6A5B"/>
    <w:rsid w:val="00EE69D5"/>
    <w:rsid w:val="00EF5CE1"/>
    <w:rsid w:val="00F71FD9"/>
    <w:rsid w:val="00FD63B9"/>
    <w:rsid w:val="02C170CB"/>
    <w:rsid w:val="0331568B"/>
    <w:rsid w:val="04243314"/>
    <w:rsid w:val="04EA3016"/>
    <w:rsid w:val="056507B1"/>
    <w:rsid w:val="09B6726C"/>
    <w:rsid w:val="0AD44E8F"/>
    <w:rsid w:val="0AE348B3"/>
    <w:rsid w:val="0CEC768D"/>
    <w:rsid w:val="0D185A68"/>
    <w:rsid w:val="0E320E7D"/>
    <w:rsid w:val="0E6C0832"/>
    <w:rsid w:val="0F933DB1"/>
    <w:rsid w:val="0F983CFB"/>
    <w:rsid w:val="104355C3"/>
    <w:rsid w:val="110B0031"/>
    <w:rsid w:val="116972AB"/>
    <w:rsid w:val="12145214"/>
    <w:rsid w:val="16AB3EC2"/>
    <w:rsid w:val="175B500B"/>
    <w:rsid w:val="18411E64"/>
    <w:rsid w:val="18D23988"/>
    <w:rsid w:val="19F416DC"/>
    <w:rsid w:val="1A277D03"/>
    <w:rsid w:val="1B291859"/>
    <w:rsid w:val="1B971740"/>
    <w:rsid w:val="1B9B2EE1"/>
    <w:rsid w:val="1C3B1C54"/>
    <w:rsid w:val="1CC96E50"/>
    <w:rsid w:val="1D300C7D"/>
    <w:rsid w:val="1D465420"/>
    <w:rsid w:val="20F53421"/>
    <w:rsid w:val="216E7FC6"/>
    <w:rsid w:val="21A93613"/>
    <w:rsid w:val="21BA145D"/>
    <w:rsid w:val="222960F7"/>
    <w:rsid w:val="24BC54EC"/>
    <w:rsid w:val="25DF5936"/>
    <w:rsid w:val="2A4C1351"/>
    <w:rsid w:val="2A830A4B"/>
    <w:rsid w:val="2AA50EFC"/>
    <w:rsid w:val="2B006133"/>
    <w:rsid w:val="2B1266D4"/>
    <w:rsid w:val="2CDB7071"/>
    <w:rsid w:val="2DBF2D5E"/>
    <w:rsid w:val="2E2B5A26"/>
    <w:rsid w:val="2FE9460A"/>
    <w:rsid w:val="30D15875"/>
    <w:rsid w:val="323E59E8"/>
    <w:rsid w:val="326E0700"/>
    <w:rsid w:val="33490893"/>
    <w:rsid w:val="36575075"/>
    <w:rsid w:val="36C26D87"/>
    <w:rsid w:val="3C8F1BAD"/>
    <w:rsid w:val="43B41D58"/>
    <w:rsid w:val="43EA2F6F"/>
    <w:rsid w:val="45A123BB"/>
    <w:rsid w:val="46C54D77"/>
    <w:rsid w:val="48615989"/>
    <w:rsid w:val="4976133E"/>
    <w:rsid w:val="499E328F"/>
    <w:rsid w:val="4C6557DB"/>
    <w:rsid w:val="4CF86E97"/>
    <w:rsid w:val="4F7B372A"/>
    <w:rsid w:val="50512048"/>
    <w:rsid w:val="5076286F"/>
    <w:rsid w:val="510359BF"/>
    <w:rsid w:val="52F12681"/>
    <w:rsid w:val="533C1422"/>
    <w:rsid w:val="558354A5"/>
    <w:rsid w:val="56005979"/>
    <w:rsid w:val="567C6FB9"/>
    <w:rsid w:val="568F1379"/>
    <w:rsid w:val="59260BAB"/>
    <w:rsid w:val="59555C64"/>
    <w:rsid w:val="5A5D05FC"/>
    <w:rsid w:val="5B965558"/>
    <w:rsid w:val="5F65427A"/>
    <w:rsid w:val="5F6672C8"/>
    <w:rsid w:val="613A1697"/>
    <w:rsid w:val="62ED51EE"/>
    <w:rsid w:val="63681CEB"/>
    <w:rsid w:val="657867C9"/>
    <w:rsid w:val="66822AB6"/>
    <w:rsid w:val="694322DC"/>
    <w:rsid w:val="694C1134"/>
    <w:rsid w:val="6B703951"/>
    <w:rsid w:val="6B8D4707"/>
    <w:rsid w:val="6C6B4DFB"/>
    <w:rsid w:val="6C7C7008"/>
    <w:rsid w:val="6CAB297C"/>
    <w:rsid w:val="6D826F35"/>
    <w:rsid w:val="6F2C2FA3"/>
    <w:rsid w:val="70837671"/>
    <w:rsid w:val="70A132D9"/>
    <w:rsid w:val="72320ECC"/>
    <w:rsid w:val="72444124"/>
    <w:rsid w:val="72915C55"/>
    <w:rsid w:val="72C25048"/>
    <w:rsid w:val="72ED0724"/>
    <w:rsid w:val="74714AD8"/>
    <w:rsid w:val="74962DC9"/>
    <w:rsid w:val="763D3675"/>
    <w:rsid w:val="77E803DC"/>
    <w:rsid w:val="787510CA"/>
    <w:rsid w:val="7BF471EA"/>
    <w:rsid w:val="7EB46C5D"/>
    <w:rsid w:val="7EC5161B"/>
    <w:rsid w:val="7EF725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6"/>
    <w:qFormat/>
    <w:uiPriority w:val="0"/>
    <w:rPr>
      <w:rFonts w:ascii="楷体_GB2312" w:hAnsi="Arial" w:eastAsia="楷体_GB2312"/>
      <w:sz w:val="28"/>
      <w:szCs w:val="28"/>
    </w:rPr>
  </w:style>
  <w:style w:type="paragraph" w:styleId="3">
    <w:name w:val="footer"/>
    <w:basedOn w:val="1"/>
    <w:link w:val="35"/>
    <w:qFormat/>
    <w:uiPriority w:val="0"/>
    <w:pPr>
      <w:tabs>
        <w:tab w:val="center" w:pos="4153"/>
        <w:tab w:val="right" w:pos="8306"/>
      </w:tabs>
      <w:snapToGrid w:val="0"/>
      <w:jc w:val="left"/>
    </w:pPr>
    <w:rPr>
      <w:sz w:val="18"/>
      <w:szCs w:val="18"/>
    </w:rPr>
  </w:style>
  <w:style w:type="paragraph" w:styleId="4">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16"/>
    <w:qFormat/>
    <w:uiPriority w:val="0"/>
    <w:rPr>
      <w:rFonts w:hint="default" w:ascii="Calibri" w:hAnsi="Calibri" w:eastAsia="宋体" w:cs="Times New Roman"/>
      <w:sz w:val="21"/>
      <w:szCs w:val="22"/>
      <w:lang w:val="en-US" w:eastAsia="zh-CN" w:bidi="ar-SA"/>
    </w:rPr>
  </w:style>
  <w:style w:type="paragraph" w:customStyle="1" w:styleId="10">
    <w:name w:val="标题 211"/>
    <w:basedOn w:val="1"/>
    <w:next w:val="1"/>
    <w:qFormat/>
    <w:uiPriority w:val="0"/>
    <w:pPr>
      <w:keepNext/>
      <w:keepLines/>
      <w:spacing w:before="260" w:after="260" w:line="413" w:lineRule="auto"/>
      <w:outlineLvl w:val="1"/>
    </w:pPr>
    <w:rPr>
      <w:rFonts w:ascii="Arial" w:hAnsi="Arial" w:eastAsia="黑体"/>
      <w:b/>
      <w:sz w:val="32"/>
      <w:szCs w:val="20"/>
    </w:rPr>
  </w:style>
  <w:style w:type="paragraph" w:customStyle="1" w:styleId="11">
    <w:name w:val="标题 312"/>
    <w:basedOn w:val="12"/>
    <w:next w:val="14"/>
    <w:qFormat/>
    <w:uiPriority w:val="0"/>
    <w:pPr>
      <w:keepNext/>
      <w:keepLines/>
      <w:spacing w:before="320" w:after="200"/>
      <w:outlineLvl w:val="2"/>
    </w:pPr>
    <w:rPr>
      <w:rFonts w:ascii="Arial" w:hAnsi="Arial" w:eastAsia="Arial" w:cs="Arial"/>
      <w:sz w:val="30"/>
      <w:szCs w:val="30"/>
    </w:rPr>
  </w:style>
  <w:style w:type="paragraph" w:customStyle="1" w:styleId="12">
    <w:name w:val="Normal1"/>
    <w:next w:val="13"/>
    <w:qFormat/>
    <w:uiPriority w:val="0"/>
    <w:pPr>
      <w:widowControl w:val="0"/>
      <w:jc w:val="both"/>
    </w:pPr>
    <w:rPr>
      <w:rFonts w:ascii="Calibri" w:hAnsi="Calibri" w:eastAsia="宋体" w:cs="Times New Roman"/>
      <w:sz w:val="21"/>
      <w:szCs w:val="22"/>
      <w:lang w:val="en-US" w:eastAsia="zh-CN" w:bidi="ar-SA"/>
    </w:rPr>
  </w:style>
  <w:style w:type="paragraph" w:customStyle="1" w:styleId="13">
    <w:name w:val="标题 311"/>
    <w:basedOn w:val="12"/>
    <w:next w:val="14"/>
    <w:qFormat/>
    <w:uiPriority w:val="9"/>
    <w:pPr>
      <w:keepNext/>
      <w:keepLines/>
      <w:spacing w:before="320" w:after="200"/>
      <w:outlineLvl w:val="2"/>
    </w:pPr>
    <w:rPr>
      <w:rFonts w:ascii="Arial" w:hAnsi="Arial" w:eastAsia="Arial" w:cs="Arial"/>
      <w:sz w:val="30"/>
      <w:szCs w:val="30"/>
    </w:rPr>
  </w:style>
  <w:style w:type="paragraph" w:customStyle="1" w:styleId="14">
    <w:name w:val="Normal_19"/>
    <w:next w:val="15"/>
    <w:qFormat/>
    <w:uiPriority w:val="0"/>
    <w:rPr>
      <w:rFonts w:ascii="黑体" w:hAnsi="黑体" w:eastAsia="黑体" w:cs="黑体"/>
      <w:b/>
      <w:sz w:val="32"/>
      <w:szCs w:val="24"/>
      <w:lang w:val="en-US" w:eastAsia="zh-CN" w:bidi="ar-SA"/>
    </w:rPr>
  </w:style>
  <w:style w:type="paragraph" w:customStyle="1" w:styleId="15">
    <w:name w:val="Normal11"/>
    <w:next w:val="16"/>
    <w:qFormat/>
    <w:uiPriority w:val="0"/>
    <w:pPr>
      <w:widowControl w:val="0"/>
      <w:jc w:val="both"/>
    </w:pPr>
    <w:rPr>
      <w:rFonts w:ascii="Times New Roman" w:hAnsi="Times New Roman" w:eastAsia="宋体" w:cs="Times New Roman"/>
      <w:szCs w:val="21"/>
      <w:lang w:val="en-US" w:eastAsia="zh-CN" w:bidi="ar-SA"/>
    </w:rPr>
  </w:style>
  <w:style w:type="paragraph" w:customStyle="1" w:styleId="16">
    <w:name w:val="Body Text First Indent1"/>
    <w:basedOn w:val="17"/>
    <w:qFormat/>
    <w:uiPriority w:val="99"/>
    <w:pPr>
      <w:ind w:firstLine="420"/>
    </w:pPr>
  </w:style>
  <w:style w:type="paragraph" w:customStyle="1" w:styleId="17">
    <w:name w:val="Body Text1"/>
    <w:basedOn w:val="18"/>
    <w:qFormat/>
    <w:uiPriority w:val="99"/>
    <w:pPr>
      <w:spacing w:after="120"/>
    </w:pPr>
  </w:style>
  <w:style w:type="paragraph" w:customStyle="1" w:styleId="18">
    <w:name w:val="Normal12"/>
    <w:next w:val="16"/>
    <w:qFormat/>
    <w:uiPriority w:val="0"/>
    <w:pPr>
      <w:widowControl w:val="0"/>
      <w:jc w:val="both"/>
    </w:pPr>
    <w:rPr>
      <w:rFonts w:ascii="Times New Roman" w:hAnsi="Times New Roman" w:eastAsia="宋体" w:cs="Times New Roman"/>
      <w:szCs w:val="21"/>
      <w:lang w:val="en-US" w:eastAsia="zh-CN" w:bidi="ar-SA"/>
    </w:rPr>
  </w:style>
  <w:style w:type="paragraph" w:customStyle="1" w:styleId="19">
    <w:name w:val="标题 411"/>
    <w:basedOn w:val="1"/>
    <w:next w:val="1"/>
    <w:qFormat/>
    <w:uiPriority w:val="0"/>
    <w:pPr>
      <w:keepNext/>
      <w:jc w:val="center"/>
      <w:outlineLvl w:val="3"/>
    </w:pPr>
    <w:rPr>
      <w:rFonts w:eastAsia="新宋体"/>
      <w:sz w:val="30"/>
      <w:szCs w:val="21"/>
    </w:rPr>
  </w:style>
  <w:style w:type="paragraph" w:customStyle="1" w:styleId="20">
    <w:name w:val="正文_3"/>
    <w:qFormat/>
    <w:uiPriority w:val="0"/>
    <w:pPr>
      <w:widowControl w:val="0"/>
      <w:jc w:val="both"/>
    </w:pPr>
    <w:rPr>
      <w:rFonts w:ascii="Calibri" w:hAnsi="Calibri" w:eastAsia="宋体" w:cs="Times New Roman"/>
      <w:sz w:val="21"/>
      <w:szCs w:val="22"/>
      <w:lang w:val="en-US" w:eastAsia="zh-CN" w:bidi="ar-SA"/>
    </w:rPr>
  </w:style>
  <w:style w:type="paragraph" w:customStyle="1" w:styleId="21">
    <w:name w:val="Normal_19_0"/>
    <w:basedOn w:val="12"/>
    <w:next w:val="22"/>
    <w:qFormat/>
    <w:uiPriority w:val="0"/>
    <w:rPr>
      <w:szCs w:val="24"/>
    </w:rPr>
  </w:style>
  <w:style w:type="paragraph" w:customStyle="1" w:styleId="22">
    <w:name w:val="Body Text First Indent_1_0"/>
    <w:basedOn w:val="21"/>
    <w:qFormat/>
    <w:uiPriority w:val="0"/>
    <w:pPr>
      <w:spacing w:after="120"/>
      <w:ind w:firstLine="100"/>
    </w:pPr>
  </w:style>
  <w:style w:type="paragraph" w:customStyle="1" w:styleId="23">
    <w:name w:val="正文_18"/>
    <w:next w:val="24"/>
    <w:qFormat/>
    <w:uiPriority w:val="0"/>
    <w:pPr>
      <w:widowControl w:val="0"/>
      <w:jc w:val="both"/>
    </w:pPr>
    <w:rPr>
      <w:rFonts w:ascii="Calibri" w:hAnsi="Calibri" w:eastAsia="宋体" w:cs="Times New Roman"/>
      <w:sz w:val="21"/>
      <w:szCs w:val="22"/>
      <w:lang w:val="en-US" w:eastAsia="zh-CN" w:bidi="ar-SA"/>
    </w:rPr>
  </w:style>
  <w:style w:type="paragraph" w:customStyle="1" w:styleId="24">
    <w:name w:val="正文文本缩进_1"/>
    <w:basedOn w:val="23"/>
    <w:next w:val="25"/>
    <w:qFormat/>
    <w:uiPriority w:val="0"/>
    <w:pPr>
      <w:ind w:firstLine="225"/>
    </w:pPr>
    <w:rPr>
      <w:rFonts w:ascii="仿宋_GB2312" w:eastAsia="仿宋_GB2312"/>
      <w:sz w:val="32"/>
    </w:rPr>
  </w:style>
  <w:style w:type="paragraph" w:customStyle="1" w:styleId="25">
    <w:name w:val="正文首行缩进 2_1"/>
    <w:basedOn w:val="24"/>
    <w:next w:val="26"/>
    <w:qFormat/>
    <w:uiPriority w:val="0"/>
    <w:pPr>
      <w:spacing w:after="120"/>
      <w:ind w:left="200" w:firstLine="200"/>
    </w:pPr>
    <w:rPr>
      <w:rFonts w:ascii="Times New Roman"/>
      <w:szCs w:val="24"/>
    </w:rPr>
  </w:style>
  <w:style w:type="paragraph" w:customStyle="1" w:styleId="26">
    <w:name w:val="xl53_0"/>
    <w:next w:val="20"/>
    <w:qFormat/>
    <w:uiPriority w:val="0"/>
    <w:pPr>
      <w:pBdr>
        <w:top w:val="single" w:color="000000" w:sz="4" w:space="0"/>
        <w:left w:val="single" w:color="000000" w:sz="8" w:space="0"/>
        <w:bottom w:val="single" w:color="000000" w:sz="8" w:space="0"/>
        <w:right w:val="single" w:color="000000"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27">
    <w:name w:val="普通(网站)1"/>
    <w:basedOn w:val="1"/>
    <w:qFormat/>
    <w:uiPriority w:val="0"/>
    <w:rPr>
      <w:sz w:val="24"/>
    </w:rPr>
  </w:style>
  <w:style w:type="paragraph" w:customStyle="1" w:styleId="28">
    <w:name w:val="脚注文本1"/>
    <w:basedOn w:val="1"/>
    <w:qFormat/>
    <w:uiPriority w:val="0"/>
    <w:pPr>
      <w:jc w:val="left"/>
    </w:pPr>
    <w:rPr>
      <w:rFonts w:eastAsia="Times New Roman"/>
      <w:sz w:val="18"/>
      <w:szCs w:val="24"/>
    </w:rPr>
  </w:style>
  <w:style w:type="paragraph" w:customStyle="1" w:styleId="29">
    <w:name w:val="正文_2_0_2"/>
    <w:next w:val="30"/>
    <w:qFormat/>
    <w:uiPriority w:val="0"/>
    <w:pPr>
      <w:widowControl w:val="0"/>
      <w:jc w:val="both"/>
    </w:pPr>
    <w:rPr>
      <w:rFonts w:ascii="Calibri" w:hAnsi="Calibri" w:eastAsia="宋体" w:cs="Times New Roman"/>
      <w:sz w:val="21"/>
      <w:szCs w:val="22"/>
      <w:lang w:val="en-US" w:eastAsia="zh-CN" w:bidi="ar-SA"/>
    </w:rPr>
  </w:style>
  <w:style w:type="paragraph" w:customStyle="1" w:styleId="30">
    <w:name w:val="标题_0_0_0"/>
    <w:basedOn w:val="29"/>
    <w:next w:val="29"/>
    <w:qFormat/>
    <w:uiPriority w:val="0"/>
    <w:pPr>
      <w:spacing w:before="240" w:after="60"/>
      <w:jc w:val="center"/>
      <w:outlineLvl w:val="0"/>
    </w:pPr>
    <w:rPr>
      <w:rFonts w:ascii="Cambria" w:hAnsi="Cambria"/>
      <w:b/>
      <w:bCs/>
      <w:sz w:val="32"/>
      <w:szCs w:val="32"/>
    </w:rPr>
  </w:style>
  <w:style w:type="paragraph" w:customStyle="1" w:styleId="31">
    <w:name w:val="正文文本1"/>
    <w:basedOn w:val="1"/>
    <w:next w:val="1"/>
    <w:unhideWhenUsed/>
    <w:qFormat/>
    <w:uiPriority w:val="99"/>
    <w:pPr>
      <w:spacing w:after="120"/>
    </w:pPr>
  </w:style>
  <w:style w:type="paragraph" w:customStyle="1" w:styleId="32">
    <w:name w:val="正文_16"/>
    <w:next w:val="33"/>
    <w:qFormat/>
    <w:uiPriority w:val="0"/>
    <w:pPr>
      <w:widowControl w:val="0"/>
      <w:jc w:val="both"/>
    </w:pPr>
    <w:rPr>
      <w:rFonts w:ascii="Calibri" w:hAnsi="Calibri" w:eastAsia="宋体" w:cs="Times New Roman"/>
      <w:sz w:val="21"/>
      <w:szCs w:val="22"/>
      <w:lang w:val="en-US" w:eastAsia="zh-CN" w:bidi="ar-SA"/>
    </w:rPr>
  </w:style>
  <w:style w:type="paragraph" w:customStyle="1" w:styleId="33">
    <w:name w:val="标题 3_0"/>
    <w:basedOn w:val="29"/>
    <w:next w:val="32"/>
    <w:qFormat/>
    <w:uiPriority w:val="0"/>
    <w:pPr>
      <w:keepNext/>
      <w:keepLines/>
      <w:spacing w:before="260" w:after="260" w:line="413" w:lineRule="auto"/>
      <w:outlineLvl w:val="2"/>
    </w:pPr>
    <w:rPr>
      <w:rFonts w:ascii="Times New Roman" w:hAnsi="Times New Roman"/>
      <w:b/>
      <w:sz w:val="32"/>
      <w:szCs w:val="20"/>
    </w:rPr>
  </w:style>
  <w:style w:type="character" w:customStyle="1" w:styleId="34">
    <w:name w:val="页眉 Char"/>
    <w:basedOn w:val="8"/>
    <w:link w:val="4"/>
    <w:qFormat/>
    <w:uiPriority w:val="0"/>
    <w:rPr>
      <w:sz w:val="18"/>
      <w:szCs w:val="18"/>
    </w:rPr>
  </w:style>
  <w:style w:type="character" w:customStyle="1" w:styleId="35">
    <w:name w:val="页脚 Char"/>
    <w:basedOn w:val="8"/>
    <w:link w:val="3"/>
    <w:qFormat/>
    <w:uiPriority w:val="0"/>
    <w:rPr>
      <w:sz w:val="18"/>
      <w:szCs w:val="18"/>
    </w:rPr>
  </w:style>
  <w:style w:type="character" w:customStyle="1" w:styleId="36">
    <w:name w:val="正文文本 Char"/>
    <w:basedOn w:val="8"/>
    <w:link w:val="2"/>
    <w:qFormat/>
    <w:uiPriority w:val="0"/>
    <w:rPr>
      <w:rFonts w:ascii="楷体_GB2312" w:hAnsi="Arial" w:eastAsia="楷体_GB2312"/>
      <w:sz w:val="28"/>
      <w:szCs w:val="28"/>
    </w:rPr>
  </w:style>
  <w:style w:type="paragraph" w:styleId="3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3C1EC-DE87-4291-86C6-0807263D9A81}">
  <ds:schemaRefs/>
</ds:datastoreItem>
</file>

<file path=docProps/app.xml><?xml version="1.0" encoding="utf-8"?>
<Properties xmlns="http://schemas.openxmlformats.org/officeDocument/2006/extended-properties" xmlns:vt="http://schemas.openxmlformats.org/officeDocument/2006/docPropsVTypes">
  <Template>Normal.dotm</Template>
  <Company>MicrosoftUser</Company>
  <Pages>14</Pages>
  <Words>1595</Words>
  <Characters>1643</Characters>
  <Lines>6</Lines>
  <Paragraphs>20</Paragraphs>
  <TotalTime>0</TotalTime>
  <ScaleCrop>false</ScaleCrop>
  <LinksUpToDate>false</LinksUpToDate>
  <CharactersWithSpaces>1647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2022-10-26T01:10:00Z</dcterms:created>
  <dc:creator>Administrator</dc:creator>
  <cp:lastModifiedBy>admin</cp:lastModifiedBy>
  <dcterms:modified xsi:type="dcterms:W3CDTF">2025-08-14T09:40:42Z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81581654E3B146EAA9FC1D8CFF35EB89_13</vt:lpwstr>
  </property>
  <property fmtid="{D5CDD505-2E9C-101B-9397-08002B2CF9AE}" pid="4" name="KSOTemplateDocerSaveRecord">
    <vt:lpwstr>eyJoZGlkIjoiZjUzYWQ5YjUyN2EwZmJiZGU5MjAwYjJkYjc2ZGQzM2QifQ==</vt:lpwstr>
  </property>
</Properties>
</file>